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/>
          <w:b/>
          <w:sz w:val="36"/>
          <w:szCs w:val="36"/>
        </w:rPr>
      </w:pPr>
      <w:bookmarkStart w:id="0" w:name="_top"/>
      <w:bookmarkEnd w:id="0"/>
      <w:r>
        <w:rPr>
          <w:rFonts w:hint="eastAsia" w:ascii="华文中宋" w:hAnsi="华文中宋" w:eastAsia="华文中宋"/>
          <w:b/>
          <w:sz w:val="36"/>
          <w:szCs w:val="36"/>
        </w:rPr>
        <w:t>关于</w:t>
      </w:r>
      <w:r>
        <w:rPr>
          <w:rFonts w:hint="eastAsia" w:ascii="华文中宋" w:hAnsi="华文中宋" w:eastAsia="华文中宋"/>
          <w:b/>
          <w:sz w:val="36"/>
          <w:szCs w:val="36"/>
          <w:lang w:val="en-US" w:eastAsia="zh-CN"/>
        </w:rPr>
        <w:t>通州分公司</w:t>
      </w:r>
      <w:r>
        <w:rPr>
          <w:rFonts w:hint="eastAsia" w:ascii="华文中宋" w:hAnsi="华文中宋" w:eastAsia="华文中宋"/>
          <w:b/>
          <w:sz w:val="36"/>
          <w:szCs w:val="36"/>
        </w:rPr>
        <w:t>物资对外出售处置的公告</w:t>
      </w:r>
    </w:p>
    <w:p>
      <w:pPr>
        <w:ind w:firstLine="360" w:firstLineChars="150"/>
        <w:jc w:val="left"/>
        <w:rPr>
          <w:rFonts w:hint="eastAsia"/>
          <w:sz w:val="24"/>
        </w:rPr>
      </w:pPr>
    </w:p>
    <w:p>
      <w:pPr>
        <w:ind w:firstLine="360" w:firstLineChars="150"/>
        <w:jc w:val="left"/>
        <w:rPr>
          <w:rFonts w:hint="eastAsia"/>
          <w:sz w:val="24"/>
        </w:rPr>
      </w:pPr>
      <w:r>
        <w:rPr>
          <w:rFonts w:hint="eastAsia"/>
          <w:sz w:val="24"/>
        </w:rPr>
        <w:t>南通港口集团有限公司</w:t>
      </w:r>
      <w:r>
        <w:rPr>
          <w:rFonts w:hint="eastAsia"/>
          <w:sz w:val="24"/>
          <w:lang w:eastAsia="zh-CN"/>
        </w:rPr>
        <w:t>通州港务分公司</w:t>
      </w:r>
      <w:r>
        <w:rPr>
          <w:rFonts w:hint="eastAsia"/>
          <w:sz w:val="24"/>
        </w:rPr>
        <w:t>现有如下物资拟对外出售处置</w:t>
      </w:r>
    </w:p>
    <w:tbl>
      <w:tblPr>
        <w:tblStyle w:val="5"/>
        <w:tblW w:w="90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1"/>
        <w:gridCol w:w="1843"/>
        <w:gridCol w:w="1276"/>
        <w:gridCol w:w="1559"/>
        <w:gridCol w:w="1701"/>
        <w:gridCol w:w="19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701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序号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废旧物资名称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预估数量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计价方式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存放地点</w:t>
            </w:r>
          </w:p>
        </w:tc>
        <w:tc>
          <w:tcPr>
            <w:tcW w:w="197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exact"/>
          <w:jc w:val="center"/>
        </w:trPr>
        <w:tc>
          <w:tcPr>
            <w:tcW w:w="701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隔离墩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2200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widowControl/>
              <w:spacing w:line="240" w:lineRule="atLeas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按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个</w:t>
            </w:r>
            <w:r>
              <w:rPr>
                <w:rFonts w:hint="eastAsia" w:ascii="宋体" w:hAnsi="宋体" w:cs="宋体"/>
                <w:kern w:val="0"/>
                <w:szCs w:val="21"/>
              </w:rPr>
              <w:t>出售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通州分公司</w:t>
            </w:r>
          </w:p>
        </w:tc>
        <w:tc>
          <w:tcPr>
            <w:tcW w:w="1974" w:type="dxa"/>
            <w:noWrap w:val="0"/>
            <w:vAlign w:val="center"/>
          </w:tcPr>
          <w:p>
            <w:pPr>
              <w:widowControl/>
              <w:spacing w:line="240" w:lineRule="atLeast"/>
              <w:ind w:firstLine="420" w:firstLineChars="200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</w:tbl>
    <w:p>
      <w:pPr>
        <w:spacing w:line="440" w:lineRule="exact"/>
        <w:ind w:firstLine="480" w:firstLineChars="200"/>
        <w:jc w:val="left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注：所售</w:t>
      </w:r>
      <w:bookmarkStart w:id="1" w:name="_GoBack"/>
      <w:bookmarkEnd w:id="1"/>
      <w:r>
        <w:rPr>
          <w:rFonts w:hint="eastAsia" w:ascii="宋体" w:hAnsi="宋体"/>
          <w:b/>
          <w:sz w:val="24"/>
        </w:rPr>
        <w:t>物资以存放地实物现状为准，数量以实际过磅或清点为准。</w:t>
      </w:r>
    </w:p>
    <w:p>
      <w:pPr>
        <w:spacing w:line="440" w:lineRule="exact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b/>
          <w:sz w:val="24"/>
        </w:rPr>
        <w:t>公示有效期：</w:t>
      </w:r>
      <w:r>
        <w:rPr>
          <w:rFonts w:hint="eastAsia" w:ascii="宋体" w:hAnsi="宋体"/>
          <w:sz w:val="24"/>
        </w:rPr>
        <w:t>2022年</w:t>
      </w:r>
      <w:r>
        <w:rPr>
          <w:rFonts w:hint="eastAsia" w:ascii="宋体" w:hAnsi="宋体"/>
          <w:sz w:val="24"/>
          <w:lang w:val="en-US" w:eastAsia="zh-CN"/>
        </w:rPr>
        <w:t>8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lang w:val="en-US" w:eastAsia="zh-CN"/>
        </w:rPr>
        <w:t>25</w:t>
      </w:r>
      <w:r>
        <w:rPr>
          <w:rFonts w:hint="eastAsia" w:ascii="宋体" w:hAnsi="宋体"/>
          <w:sz w:val="24"/>
        </w:rPr>
        <w:t>日——</w:t>
      </w:r>
      <w:r>
        <w:rPr>
          <w:rFonts w:hint="eastAsia" w:ascii="宋体" w:hAnsi="宋体"/>
          <w:sz w:val="24"/>
          <w:lang w:val="en-US" w:eastAsia="zh-CN"/>
        </w:rPr>
        <w:t>9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lang w:val="en-US" w:eastAsia="zh-CN"/>
        </w:rPr>
        <w:t>2</w:t>
      </w:r>
      <w:r>
        <w:rPr>
          <w:rFonts w:hint="eastAsia" w:ascii="宋体" w:hAnsi="宋体"/>
          <w:sz w:val="24"/>
        </w:rPr>
        <w:t>日</w:t>
      </w:r>
    </w:p>
    <w:p>
      <w:pPr>
        <w:spacing w:line="440" w:lineRule="exact"/>
        <w:jc w:val="left"/>
        <w:rPr>
          <w:rFonts w:hint="eastAsia" w:ascii="宋体" w:hAnsi="宋体" w:eastAsia="宋体"/>
          <w:sz w:val="24"/>
          <w:lang w:eastAsia="zh-CN"/>
        </w:rPr>
      </w:pPr>
      <w:r>
        <w:rPr>
          <w:rFonts w:hint="eastAsia" w:ascii="宋体" w:hAnsi="宋体"/>
          <w:b/>
          <w:sz w:val="24"/>
        </w:rPr>
        <w:t>查看实物：</w:t>
      </w:r>
      <w:r>
        <w:rPr>
          <w:rFonts w:hint="eastAsia" w:ascii="宋体" w:hAnsi="宋体"/>
          <w:sz w:val="24"/>
        </w:rPr>
        <w:t xml:space="preserve"> 联系部门：南通港口集团有限公司通州分公司</w:t>
      </w:r>
      <w:r>
        <w:rPr>
          <w:rFonts w:hint="eastAsia" w:ascii="宋体" w:hAnsi="宋体"/>
          <w:sz w:val="24"/>
          <w:lang w:eastAsia="zh-CN"/>
        </w:rPr>
        <w:t>资产处置组</w:t>
      </w:r>
    </w:p>
    <w:p>
      <w:pPr>
        <w:spacing w:line="440" w:lineRule="exact"/>
        <w:ind w:firstLine="1320" w:firstLineChars="55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联系人：戴建华 13405747239</w:t>
      </w:r>
    </w:p>
    <w:p>
      <w:pPr>
        <w:spacing w:line="440" w:lineRule="exact"/>
        <w:jc w:val="left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报价须知：</w:t>
      </w:r>
    </w:p>
    <w:p>
      <w:pPr>
        <w:numPr>
          <w:ilvl w:val="0"/>
          <w:numId w:val="1"/>
        </w:numPr>
        <w:spacing w:line="360" w:lineRule="exact"/>
        <w:ind w:left="408" w:hanging="408" w:hangingChars="17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各报价人不得串通报价、弄虚作假，一旦发现，永久取消参与报价的资格。</w:t>
      </w:r>
    </w:p>
    <w:p>
      <w:pPr>
        <w:numPr>
          <w:ilvl w:val="0"/>
          <w:numId w:val="1"/>
        </w:numPr>
        <w:spacing w:line="360" w:lineRule="exact"/>
        <w:ind w:left="408" w:hanging="408" w:hangingChars="17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本次报价采用一次性密封报价方式进行，具备</w:t>
      </w:r>
      <w:r>
        <w:rPr>
          <w:rFonts w:hint="eastAsia" w:ascii="宋体" w:hAnsi="宋体"/>
          <w:sz w:val="24"/>
          <w:lang w:eastAsia="zh-CN"/>
        </w:rPr>
        <w:t>隔离墩</w:t>
      </w:r>
      <w:r>
        <w:rPr>
          <w:rFonts w:hint="eastAsia" w:ascii="宋体" w:hAnsi="宋体"/>
          <w:sz w:val="24"/>
        </w:rPr>
        <w:t>回收</w:t>
      </w:r>
      <w:r>
        <w:rPr>
          <w:rFonts w:hint="eastAsia" w:ascii="宋体" w:hAnsi="宋体"/>
          <w:sz w:val="24"/>
          <w:lang w:eastAsia="zh-CN"/>
        </w:rPr>
        <w:t>使用</w:t>
      </w:r>
      <w:r>
        <w:rPr>
          <w:rFonts w:hint="eastAsia" w:ascii="宋体" w:hAnsi="宋体"/>
          <w:sz w:val="24"/>
        </w:rPr>
        <w:t>资质的单位可参加本次报价活动，</w:t>
      </w:r>
      <w:r>
        <w:rPr>
          <w:rFonts w:hint="eastAsia" w:ascii="宋体" w:hAnsi="宋体"/>
          <w:sz w:val="24"/>
          <w:lang w:eastAsia="zh-CN"/>
        </w:rPr>
        <w:t>如需现场破拆需持相应资质，</w:t>
      </w:r>
      <w:r>
        <w:rPr>
          <w:rFonts w:hint="eastAsia" w:ascii="宋体" w:hAnsi="宋体"/>
          <w:sz w:val="24"/>
        </w:rPr>
        <w:t>报价文件资料包括如下两部分 ：</w:t>
      </w:r>
    </w:p>
    <w:p>
      <w:pPr>
        <w:numPr>
          <w:ilvl w:val="0"/>
          <w:numId w:val="2"/>
        </w:numPr>
        <w:spacing w:line="360" w:lineRule="exact"/>
        <w:jc w:val="left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报价资质文件，包括：①营业执照复印件、②法定代表人身份证复印件、③委托书、④委托代理人身份证复印件、⑤开票资料，上述资质文件均需加盖企业公章；</w:t>
      </w:r>
    </w:p>
    <w:p>
      <w:pPr>
        <w:numPr>
          <w:ilvl w:val="0"/>
          <w:numId w:val="2"/>
        </w:numPr>
        <w:spacing w:line="360" w:lineRule="exact"/>
        <w:jc w:val="left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报价书（格式详见附件样本，需签字盖企业公章），报价书需密封在信封内，封口处加盖企业公章或报价人签字。</w:t>
      </w:r>
    </w:p>
    <w:p>
      <w:pPr>
        <w:spacing w:line="360" w:lineRule="exact"/>
        <w:ind w:left="408"/>
        <w:jc w:val="left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注：未按上述要求提供的报价文件可能被拒绝。</w:t>
      </w:r>
    </w:p>
    <w:p>
      <w:pPr>
        <w:numPr>
          <w:ilvl w:val="0"/>
          <w:numId w:val="1"/>
        </w:numPr>
        <w:spacing w:line="360" w:lineRule="exact"/>
        <w:ind w:left="408" w:hanging="408" w:hangingChars="17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报价人已完全知晓实物现状，报价最高且达到出售单位预期价位者，成为物资竞得方。</w:t>
      </w:r>
    </w:p>
    <w:p>
      <w:pPr>
        <w:numPr>
          <w:ilvl w:val="0"/>
          <w:numId w:val="1"/>
        </w:numPr>
        <w:spacing w:line="360" w:lineRule="exact"/>
        <w:ind w:left="408" w:hanging="408" w:hangingChars="17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出售单位有权取消本次竞价活动。</w:t>
      </w:r>
    </w:p>
    <w:p>
      <w:pPr>
        <w:numPr>
          <w:ilvl w:val="0"/>
          <w:numId w:val="1"/>
        </w:numPr>
        <w:spacing w:line="360" w:lineRule="exact"/>
        <w:ind w:left="408" w:hanging="408" w:hangingChars="17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如物资竞得者反悔其报价，将取消竞得者资格，并永久取消再次到南通港口集团进行报价的资格。</w:t>
      </w:r>
    </w:p>
    <w:p>
      <w:pPr>
        <w:numPr>
          <w:ilvl w:val="0"/>
          <w:numId w:val="1"/>
        </w:numPr>
        <w:spacing w:line="360" w:lineRule="exact"/>
        <w:ind w:left="408" w:hanging="408" w:hangingChars="17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竞得者将相关款项缴至指定账户，账户名称：南通港口集团有限公司，账号：1111821209100373040，开户行：工行人民路支行。</w:t>
      </w:r>
    </w:p>
    <w:p>
      <w:pPr>
        <w:numPr>
          <w:ilvl w:val="0"/>
          <w:numId w:val="1"/>
        </w:numPr>
        <w:spacing w:line="360" w:lineRule="exact"/>
        <w:ind w:left="408" w:hanging="408" w:hangingChars="17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竞得者须和物资所在单位安全部门签订安全协议后，办理物资的移交。 </w:t>
      </w:r>
    </w:p>
    <w:p>
      <w:pPr>
        <w:numPr>
          <w:ilvl w:val="0"/>
          <w:numId w:val="1"/>
        </w:numPr>
        <w:spacing w:line="360" w:lineRule="exact"/>
        <w:ind w:left="408" w:hanging="408" w:hangingChars="17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通州分公司物资管理部门开具出门证交给门卫后，物资方可运输出门。</w:t>
      </w:r>
    </w:p>
    <w:p>
      <w:pPr>
        <w:numPr>
          <w:ilvl w:val="0"/>
          <w:numId w:val="1"/>
        </w:numPr>
        <w:spacing w:line="360" w:lineRule="exact"/>
        <w:ind w:left="410" w:hanging="408" w:hangingChars="170"/>
        <w:jc w:val="left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投标报价保证金：参加投标报价的报价人</w:t>
      </w:r>
      <w:r>
        <w:rPr>
          <w:rFonts w:hint="eastAsia"/>
          <w:b/>
          <w:color w:val="333333"/>
          <w:sz w:val="24"/>
          <w:shd w:val="clear" w:color="auto" w:fill="FFFFFF"/>
        </w:rPr>
        <w:t>须</w:t>
      </w:r>
      <w:r>
        <w:rPr>
          <w:rFonts w:hint="eastAsia" w:ascii="宋体" w:hAnsi="宋体"/>
          <w:b/>
          <w:sz w:val="24"/>
        </w:rPr>
        <w:t>缴纳报价保证金人民币</w:t>
      </w:r>
      <w:r>
        <w:rPr>
          <w:rFonts w:hint="eastAsia" w:ascii="宋体" w:hAnsi="宋体"/>
          <w:b/>
          <w:sz w:val="24"/>
          <w:lang w:eastAsia="zh-CN"/>
        </w:rPr>
        <w:t>伍仟</w:t>
      </w:r>
      <w:r>
        <w:rPr>
          <w:rFonts w:hint="eastAsia" w:ascii="宋体" w:hAnsi="宋体"/>
          <w:b/>
          <w:sz w:val="24"/>
        </w:rPr>
        <w:t>元（￥</w:t>
      </w:r>
      <w:r>
        <w:rPr>
          <w:rFonts w:hint="eastAsia" w:ascii="宋体" w:hAnsi="宋体"/>
          <w:b/>
          <w:sz w:val="24"/>
          <w:lang w:val="en-US" w:eastAsia="zh-CN"/>
        </w:rPr>
        <w:t>5</w:t>
      </w:r>
      <w:r>
        <w:rPr>
          <w:rFonts w:hint="eastAsia" w:ascii="宋体" w:hAnsi="宋体"/>
          <w:b/>
          <w:sz w:val="24"/>
        </w:rPr>
        <w:t>000.00元）至出售单位的指定账户，并在报价时出示保证金缴纳凭证，否则报价无效。</w:t>
      </w:r>
      <w:r>
        <w:rPr>
          <w:rFonts w:hint="eastAsia"/>
          <w:b/>
          <w:color w:val="333333"/>
          <w:sz w:val="24"/>
          <w:shd w:val="clear" w:color="auto" w:fill="FFFFFF"/>
        </w:rPr>
        <w:t>报价人应在提交报价文件截止时间前缴纳，报价人缴纳的报价保证金</w:t>
      </w:r>
      <w:r>
        <w:rPr>
          <w:rFonts w:hint="eastAsia"/>
          <w:b/>
          <w:bCs/>
          <w:color w:val="333333"/>
          <w:sz w:val="24"/>
          <w:shd w:val="clear" w:color="auto" w:fill="FFFFFF"/>
        </w:rPr>
        <w:t>仅限银行汇票、本票、电汇</w:t>
      </w:r>
      <w:r>
        <w:rPr>
          <w:rFonts w:hint="eastAsia"/>
          <w:b/>
          <w:color w:val="333333"/>
          <w:sz w:val="24"/>
          <w:shd w:val="clear" w:color="auto" w:fill="FFFFFF"/>
        </w:rPr>
        <w:t>的形式（现金形式概不接收）。</w:t>
      </w:r>
    </w:p>
    <w:p>
      <w:pPr>
        <w:numPr>
          <w:ilvl w:val="0"/>
          <w:numId w:val="1"/>
        </w:numPr>
        <w:spacing w:line="360" w:lineRule="exact"/>
        <w:jc w:val="left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投标报价保证金退还：</w:t>
      </w:r>
    </w:p>
    <w:p>
      <w:pPr>
        <w:numPr>
          <w:ilvl w:val="1"/>
          <w:numId w:val="1"/>
        </w:numPr>
        <w:spacing w:line="360" w:lineRule="exact"/>
        <w:jc w:val="left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sz w:val="24"/>
        </w:rPr>
        <w:t>出售单位在确定竞得者后10个工作日内全额无息退还未竞得者的保证金。</w:t>
      </w:r>
    </w:p>
    <w:p>
      <w:pPr>
        <w:numPr>
          <w:ilvl w:val="1"/>
          <w:numId w:val="1"/>
        </w:numPr>
        <w:spacing w:line="360" w:lineRule="exact"/>
        <w:jc w:val="left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sz w:val="24"/>
        </w:rPr>
        <w:t>竞得者在接到出售单位通知，7个工作日内将所竞得物资全部运离</w:t>
      </w:r>
      <w:r>
        <w:rPr>
          <w:rFonts w:hint="eastAsia" w:ascii="宋体" w:hAnsi="宋体"/>
          <w:sz w:val="24"/>
          <w:lang w:eastAsia="zh-CN"/>
        </w:rPr>
        <w:t>，如需现场破拆，</w:t>
      </w:r>
      <w:r>
        <w:rPr>
          <w:rFonts w:hint="eastAsia" w:ascii="宋体" w:hAnsi="宋体"/>
          <w:sz w:val="24"/>
          <w:lang w:val="en-US" w:eastAsia="zh-CN"/>
        </w:rPr>
        <w:t>20个工作日内全部运离</w:t>
      </w:r>
      <w:r>
        <w:rPr>
          <w:rFonts w:hint="eastAsia" w:ascii="宋体" w:hAnsi="宋体"/>
          <w:sz w:val="24"/>
        </w:rPr>
        <w:t>并缴清货款后，出售单位在10个工作日内全额无息退还其保证金；如竞得者未能在</w:t>
      </w:r>
      <w:r>
        <w:rPr>
          <w:rFonts w:hint="eastAsia" w:ascii="宋体" w:hAnsi="宋体"/>
          <w:sz w:val="24"/>
          <w:lang w:eastAsia="zh-CN"/>
        </w:rPr>
        <w:t>规定时间内</w:t>
      </w:r>
      <w:r>
        <w:rPr>
          <w:rFonts w:hint="eastAsia" w:ascii="宋体" w:hAnsi="宋体"/>
          <w:sz w:val="24"/>
        </w:rPr>
        <w:t>或未能将所竞得废旧物资全部运离，保证金将不予退还。</w:t>
      </w:r>
    </w:p>
    <w:p>
      <w:pPr>
        <w:numPr>
          <w:ilvl w:val="0"/>
          <w:numId w:val="0"/>
        </w:numPr>
        <w:spacing w:line="360" w:lineRule="exact"/>
        <w:ind w:leftChars="0"/>
        <w:jc w:val="left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sz w:val="24"/>
          <w:lang w:eastAsia="zh-CN"/>
        </w:rPr>
        <w:t>。</w:t>
      </w:r>
    </w:p>
    <w:p>
      <w:pPr>
        <w:spacing w:line="440" w:lineRule="exact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b/>
          <w:sz w:val="24"/>
        </w:rPr>
        <w:t>密封报价文件提交截止时间：2022年</w:t>
      </w:r>
      <w:r>
        <w:rPr>
          <w:rFonts w:hint="eastAsia" w:ascii="宋体" w:hAnsi="宋体"/>
          <w:b/>
          <w:sz w:val="24"/>
          <w:lang w:val="en-US" w:eastAsia="zh-CN"/>
        </w:rPr>
        <w:t>9</w:t>
      </w:r>
      <w:r>
        <w:rPr>
          <w:rFonts w:hint="eastAsia" w:ascii="宋体" w:hAnsi="宋体"/>
          <w:b/>
          <w:sz w:val="24"/>
        </w:rPr>
        <w:t>月</w:t>
      </w:r>
      <w:r>
        <w:rPr>
          <w:rFonts w:hint="eastAsia" w:ascii="宋体" w:hAnsi="宋体"/>
          <w:b/>
          <w:sz w:val="24"/>
          <w:lang w:val="en-US" w:eastAsia="zh-CN"/>
        </w:rPr>
        <w:t>3</w:t>
      </w:r>
      <w:r>
        <w:rPr>
          <w:rFonts w:hint="eastAsia" w:ascii="宋体" w:hAnsi="宋体"/>
          <w:b/>
          <w:sz w:val="24"/>
        </w:rPr>
        <w:t>日11时</w:t>
      </w:r>
    </w:p>
    <w:p>
      <w:pPr>
        <w:spacing w:line="480" w:lineRule="exact"/>
        <w:jc w:val="left"/>
        <w:rPr>
          <w:rFonts w:hint="default" w:ascii="宋体" w:hAnsi="宋体" w:eastAsia="宋体"/>
          <w:sz w:val="24"/>
          <w:lang w:val="en-US" w:eastAsia="zh-CN"/>
        </w:rPr>
      </w:pPr>
      <w:r>
        <w:rPr>
          <w:rFonts w:hint="eastAsia" w:ascii="宋体" w:hAnsi="宋体"/>
          <w:b/>
          <w:sz w:val="24"/>
        </w:rPr>
        <w:t>报价预约</w:t>
      </w:r>
      <w:r>
        <w:rPr>
          <w:rFonts w:hint="eastAsia" w:ascii="宋体" w:hAnsi="宋体"/>
          <w:sz w:val="24"/>
        </w:rPr>
        <w:t>：南通港口集团有限公司</w:t>
      </w:r>
      <w:r>
        <w:rPr>
          <w:rFonts w:hint="eastAsia" w:ascii="宋体" w:hAnsi="宋体"/>
          <w:sz w:val="24"/>
          <w:lang w:eastAsia="zh-CN"/>
        </w:rPr>
        <w:t>通州分公司</w:t>
      </w:r>
      <w:r>
        <w:rPr>
          <w:rFonts w:hint="eastAsia" w:ascii="宋体" w:hAnsi="宋体"/>
          <w:sz w:val="24"/>
        </w:rPr>
        <w:t xml:space="preserve">    联系人： </w:t>
      </w:r>
      <w:r>
        <w:rPr>
          <w:rFonts w:hint="eastAsia" w:ascii="宋体" w:hAnsi="宋体"/>
          <w:sz w:val="24"/>
          <w:lang w:eastAsia="zh-CN"/>
        </w:rPr>
        <w:t>戴建华</w:t>
      </w:r>
      <w:r>
        <w:rPr>
          <w:rFonts w:hint="eastAsia" w:ascii="宋体" w:hAnsi="宋体"/>
          <w:sz w:val="24"/>
          <w:lang w:val="en-US" w:eastAsia="zh-CN"/>
        </w:rPr>
        <w:t xml:space="preserve"> 13405747239</w:t>
      </w:r>
    </w:p>
    <w:p>
      <w:pPr>
        <w:spacing w:line="480" w:lineRule="exact"/>
        <w:ind w:firstLine="1200" w:firstLineChars="500"/>
        <w:jc w:val="left"/>
        <w:rPr>
          <w:rFonts w:hint="default" w:ascii="宋体" w:hAnsi="宋体" w:eastAsia="宋体"/>
          <w:sz w:val="24"/>
          <w:lang w:val="en-US" w:eastAsia="zh-CN"/>
        </w:rPr>
      </w:pPr>
      <w:r>
        <w:rPr>
          <w:rFonts w:hint="eastAsia" w:ascii="宋体" w:hAnsi="宋体"/>
          <w:sz w:val="24"/>
        </w:rPr>
        <w:t>地  点：南通市</w:t>
      </w:r>
      <w:r>
        <w:rPr>
          <w:rFonts w:hint="eastAsia" w:ascii="宋体" w:hAnsi="宋体"/>
          <w:sz w:val="24"/>
          <w:lang w:eastAsia="zh-CN"/>
        </w:rPr>
        <w:t>人民西路</w:t>
      </w:r>
      <w:r>
        <w:rPr>
          <w:rFonts w:hint="eastAsia" w:ascii="宋体" w:hAnsi="宋体"/>
          <w:sz w:val="24"/>
          <w:lang w:val="en-US" w:eastAsia="zh-CN"/>
        </w:rPr>
        <w:t>530号</w:t>
      </w:r>
    </w:p>
    <w:p>
      <w:pPr>
        <w:jc w:val="left"/>
        <w:rPr>
          <w:rFonts w:hint="eastAsia" w:ascii="仿宋_GB2312" w:eastAsia="仿宋_GB2312"/>
          <w:sz w:val="30"/>
          <w:szCs w:val="30"/>
        </w:rPr>
      </w:pPr>
    </w:p>
    <w:p>
      <w:pPr>
        <w:jc w:val="left"/>
        <w:rPr>
          <w:rFonts w:hint="eastAsia" w:ascii="仿宋_GB2312" w:eastAsia="仿宋_GB2312"/>
          <w:sz w:val="30"/>
          <w:szCs w:val="30"/>
        </w:rPr>
      </w:pPr>
    </w:p>
    <w:p>
      <w:pPr>
        <w:jc w:val="left"/>
        <w:rPr>
          <w:rFonts w:hint="eastAsia" w:ascii="仿宋_GB2312" w:eastAsia="仿宋_GB2312"/>
          <w:sz w:val="30"/>
          <w:szCs w:val="30"/>
        </w:rPr>
      </w:pPr>
    </w:p>
    <w:p>
      <w:pPr>
        <w:jc w:val="left"/>
        <w:rPr>
          <w:rFonts w:hint="eastAsia" w:ascii="仿宋_GB2312" w:eastAsia="仿宋_GB2312"/>
          <w:sz w:val="30"/>
          <w:szCs w:val="30"/>
        </w:rPr>
      </w:pPr>
    </w:p>
    <w:p>
      <w:pPr>
        <w:jc w:val="left"/>
        <w:rPr>
          <w:rFonts w:hint="eastAsia" w:ascii="仿宋_GB2312" w:eastAsia="仿宋_GB2312"/>
          <w:sz w:val="30"/>
          <w:szCs w:val="30"/>
        </w:rPr>
      </w:pPr>
    </w:p>
    <w:p>
      <w:pPr>
        <w:jc w:val="left"/>
        <w:rPr>
          <w:rFonts w:hint="eastAsia" w:ascii="仿宋_GB2312" w:eastAsia="仿宋_GB2312"/>
          <w:sz w:val="30"/>
          <w:szCs w:val="30"/>
        </w:rPr>
      </w:pPr>
    </w:p>
    <w:p>
      <w:pPr>
        <w:jc w:val="left"/>
        <w:rPr>
          <w:rFonts w:hint="eastAsia" w:ascii="仿宋_GB2312" w:eastAsia="仿宋_GB2312"/>
          <w:sz w:val="30"/>
          <w:szCs w:val="30"/>
        </w:rPr>
      </w:pPr>
    </w:p>
    <w:p>
      <w:pPr>
        <w:jc w:val="left"/>
        <w:rPr>
          <w:rFonts w:hint="eastAsia" w:ascii="仿宋_GB2312" w:eastAsia="仿宋_GB2312"/>
          <w:sz w:val="30"/>
          <w:szCs w:val="30"/>
        </w:rPr>
      </w:pPr>
    </w:p>
    <w:p>
      <w:pPr>
        <w:jc w:val="left"/>
        <w:rPr>
          <w:rFonts w:hint="eastAsia" w:ascii="仿宋_GB2312" w:eastAsia="仿宋_GB2312"/>
          <w:sz w:val="30"/>
          <w:szCs w:val="30"/>
        </w:rPr>
      </w:pPr>
    </w:p>
    <w:p>
      <w:pPr>
        <w:jc w:val="left"/>
        <w:rPr>
          <w:rFonts w:hint="eastAsia" w:ascii="仿宋_GB2312" w:eastAsia="仿宋_GB2312"/>
          <w:sz w:val="30"/>
          <w:szCs w:val="30"/>
        </w:rPr>
      </w:pPr>
    </w:p>
    <w:p>
      <w:pPr>
        <w:jc w:val="left"/>
        <w:rPr>
          <w:rFonts w:hint="eastAsia" w:ascii="仿宋_GB2312" w:eastAsia="仿宋_GB2312"/>
          <w:sz w:val="30"/>
          <w:szCs w:val="30"/>
        </w:rPr>
      </w:pPr>
    </w:p>
    <w:p>
      <w:pPr>
        <w:jc w:val="left"/>
        <w:rPr>
          <w:rFonts w:hint="eastAsia" w:ascii="仿宋_GB2312" w:eastAsia="仿宋_GB2312"/>
          <w:sz w:val="30"/>
          <w:szCs w:val="30"/>
        </w:rPr>
      </w:pPr>
    </w:p>
    <w:p>
      <w:pPr>
        <w:jc w:val="left"/>
        <w:rPr>
          <w:rFonts w:hint="eastAsia" w:ascii="仿宋_GB2312" w:eastAsia="仿宋_GB2312"/>
          <w:sz w:val="30"/>
          <w:szCs w:val="30"/>
        </w:rPr>
      </w:pPr>
    </w:p>
    <w:p>
      <w:pPr>
        <w:jc w:val="left"/>
        <w:rPr>
          <w:rFonts w:hint="eastAsia" w:ascii="仿宋_GB2312" w:eastAsia="仿宋_GB2312"/>
          <w:sz w:val="30"/>
          <w:szCs w:val="30"/>
        </w:rPr>
      </w:pPr>
    </w:p>
    <w:p>
      <w:pPr>
        <w:jc w:val="left"/>
        <w:rPr>
          <w:rFonts w:hint="eastAsia" w:ascii="仿宋_GB2312" w:eastAsia="仿宋_GB2312"/>
          <w:sz w:val="30"/>
          <w:szCs w:val="30"/>
        </w:rPr>
      </w:pPr>
    </w:p>
    <w:p>
      <w:pPr>
        <w:jc w:val="left"/>
        <w:rPr>
          <w:rFonts w:hint="eastAsia" w:ascii="仿宋_GB2312" w:eastAsia="仿宋_GB2312"/>
          <w:sz w:val="30"/>
          <w:szCs w:val="30"/>
        </w:rPr>
      </w:pPr>
    </w:p>
    <w:p>
      <w:pPr>
        <w:jc w:val="left"/>
        <w:rPr>
          <w:rFonts w:hint="eastAsia" w:ascii="仿宋_GB2312" w:eastAsia="仿宋_GB2312"/>
          <w:sz w:val="30"/>
          <w:szCs w:val="30"/>
        </w:rPr>
      </w:pPr>
    </w:p>
    <w:p>
      <w:pPr>
        <w:jc w:val="left"/>
        <w:rPr>
          <w:rFonts w:hint="eastAsia" w:ascii="仿宋_GB2312" w:eastAsia="仿宋_GB2312"/>
          <w:sz w:val="30"/>
          <w:szCs w:val="30"/>
        </w:rPr>
      </w:pPr>
    </w:p>
    <w:p>
      <w:pPr>
        <w:jc w:val="left"/>
        <w:rPr>
          <w:rFonts w:hint="eastAsia" w:ascii="仿宋_GB2312" w:eastAsia="仿宋_GB2312"/>
          <w:sz w:val="30"/>
          <w:szCs w:val="30"/>
        </w:rPr>
      </w:pPr>
    </w:p>
    <w:p>
      <w:pPr>
        <w:jc w:val="left"/>
        <w:rPr>
          <w:rFonts w:hint="eastAsia" w:ascii="仿宋_GB2312" w:eastAsia="仿宋_GB2312"/>
          <w:sz w:val="30"/>
          <w:szCs w:val="30"/>
        </w:rPr>
      </w:pPr>
    </w:p>
    <w:p>
      <w:pPr>
        <w:jc w:val="left"/>
        <w:rPr>
          <w:rFonts w:hint="eastAsia" w:ascii="仿宋_GB2312" w:eastAsia="仿宋_GB2312"/>
          <w:sz w:val="30"/>
          <w:szCs w:val="30"/>
        </w:rPr>
      </w:pPr>
    </w:p>
    <w:p>
      <w:pPr>
        <w:jc w:val="lef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附件：</w:t>
      </w:r>
    </w:p>
    <w:p>
      <w:pPr>
        <w:jc w:val="center"/>
        <w:rPr>
          <w:rFonts w:ascii="Adobe 楷体 Std R" w:hAnsi="Adobe 楷体 Std R" w:eastAsia="Adobe 楷体 Std R"/>
          <w:sz w:val="52"/>
          <w:szCs w:val="52"/>
        </w:rPr>
      </w:pPr>
      <w:r>
        <w:rPr>
          <w:rFonts w:hint="eastAsia" w:ascii="Adobe 楷体 Std R" w:hAnsi="Adobe 楷体 Std R" w:eastAsia="Adobe 楷体 Std R"/>
          <w:sz w:val="52"/>
          <w:szCs w:val="52"/>
        </w:rPr>
        <w:t>报  价  书</w:t>
      </w:r>
    </w:p>
    <w:p>
      <w:pPr>
        <w:jc w:val="left"/>
        <w:rPr>
          <w:rFonts w:hint="eastAsia" w:ascii="Adobe 楷体 Std R" w:hAnsi="Adobe 楷体 Std R" w:eastAsia="Adobe 楷体 Std R"/>
          <w:sz w:val="32"/>
          <w:szCs w:val="32"/>
        </w:rPr>
      </w:pPr>
      <w:r>
        <w:rPr>
          <w:rFonts w:hint="eastAsia" w:ascii="Adobe 楷体 Std R" w:hAnsi="Adobe 楷体 Std R" w:eastAsia="Adobe 楷体 Std R"/>
          <w:sz w:val="32"/>
          <w:szCs w:val="32"/>
        </w:rPr>
        <w:t>南通港口集团有限公司</w:t>
      </w:r>
      <w:r>
        <w:rPr>
          <w:rFonts w:hint="eastAsia" w:ascii="Adobe 楷体 Std R" w:hAnsi="Adobe 楷体 Std R" w:eastAsia="Adobe 楷体 Std R"/>
          <w:sz w:val="32"/>
          <w:szCs w:val="32"/>
          <w:lang w:eastAsia="zh-CN"/>
        </w:rPr>
        <w:t>通州港务分公司</w:t>
      </w:r>
      <w:r>
        <w:rPr>
          <w:rFonts w:hint="eastAsia" w:ascii="Adobe 楷体 Std R" w:hAnsi="Adobe 楷体 Std R" w:eastAsia="Adobe 楷体 Std R"/>
          <w:sz w:val="32"/>
          <w:szCs w:val="32"/>
        </w:rPr>
        <w:t>：</w:t>
      </w:r>
    </w:p>
    <w:tbl>
      <w:tblPr>
        <w:tblStyle w:val="5"/>
        <w:tblW w:w="8363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86"/>
        <w:gridCol w:w="2693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3686" w:type="dxa"/>
            <w:noWrap w:val="0"/>
            <w:vAlign w:val="center"/>
          </w:tcPr>
          <w:p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hint="eastAsia" w:ascii="Calibri" w:hAnsi="Calibri"/>
                <w:sz w:val="28"/>
                <w:szCs w:val="28"/>
              </w:rPr>
              <w:t>物资名称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hint="eastAsia" w:ascii="Calibri" w:hAnsi="Calibri"/>
                <w:sz w:val="28"/>
                <w:szCs w:val="28"/>
              </w:rPr>
              <w:t>单价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hint="eastAsia" w:ascii="Calibri" w:hAnsi="Calibri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3686" w:type="dxa"/>
            <w:noWrap w:val="0"/>
            <w:vAlign w:val="center"/>
          </w:tcPr>
          <w:p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2693" w:type="dxa"/>
            <w:noWrap w:val="0"/>
            <w:vAlign w:val="center"/>
          </w:tcPr>
          <w:p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3686" w:type="dxa"/>
            <w:noWrap w:val="0"/>
            <w:vAlign w:val="center"/>
          </w:tcPr>
          <w:p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2693" w:type="dxa"/>
            <w:noWrap w:val="0"/>
            <w:vAlign w:val="center"/>
          </w:tcPr>
          <w:p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3686" w:type="dxa"/>
            <w:noWrap w:val="0"/>
            <w:vAlign w:val="center"/>
          </w:tcPr>
          <w:p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2693" w:type="dxa"/>
            <w:noWrap w:val="0"/>
            <w:vAlign w:val="center"/>
          </w:tcPr>
          <w:p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3686" w:type="dxa"/>
            <w:noWrap w:val="0"/>
            <w:vAlign w:val="center"/>
          </w:tcPr>
          <w:p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2693" w:type="dxa"/>
            <w:noWrap w:val="0"/>
            <w:vAlign w:val="center"/>
          </w:tcPr>
          <w:p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3686" w:type="dxa"/>
            <w:noWrap w:val="0"/>
            <w:vAlign w:val="center"/>
          </w:tcPr>
          <w:p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2693" w:type="dxa"/>
            <w:noWrap w:val="0"/>
            <w:vAlign w:val="center"/>
          </w:tcPr>
          <w:p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3686" w:type="dxa"/>
            <w:noWrap w:val="0"/>
            <w:vAlign w:val="center"/>
          </w:tcPr>
          <w:p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2693" w:type="dxa"/>
            <w:noWrap w:val="0"/>
            <w:vAlign w:val="center"/>
          </w:tcPr>
          <w:p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3686" w:type="dxa"/>
            <w:noWrap w:val="0"/>
            <w:vAlign w:val="center"/>
          </w:tcPr>
          <w:p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2693" w:type="dxa"/>
            <w:noWrap w:val="0"/>
            <w:vAlign w:val="center"/>
          </w:tcPr>
          <w:p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3686" w:type="dxa"/>
            <w:noWrap w:val="0"/>
            <w:vAlign w:val="center"/>
          </w:tcPr>
          <w:p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2693" w:type="dxa"/>
            <w:noWrap w:val="0"/>
            <w:vAlign w:val="center"/>
          </w:tcPr>
          <w:p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3686" w:type="dxa"/>
            <w:noWrap w:val="0"/>
            <w:vAlign w:val="center"/>
          </w:tcPr>
          <w:p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2693" w:type="dxa"/>
            <w:noWrap w:val="0"/>
            <w:vAlign w:val="center"/>
          </w:tcPr>
          <w:p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</w:tr>
    </w:tbl>
    <w:p>
      <w:pPr>
        <w:ind w:firstLine="240" w:firstLineChars="100"/>
        <w:jc w:val="left"/>
        <w:rPr>
          <w:rFonts w:ascii="华文仿宋" w:hAnsi="华文仿宋" w:eastAsia="华文仿宋"/>
          <w:sz w:val="24"/>
        </w:rPr>
      </w:pPr>
      <w:r>
        <w:rPr>
          <w:rFonts w:hint="eastAsia" w:ascii="华文仿宋" w:hAnsi="华文仿宋" w:eastAsia="华文仿宋"/>
          <w:sz w:val="24"/>
        </w:rPr>
        <w:t>注：上述报价为含税报价，增值税普通发票及增值税专用发票税率均为13%。</w:t>
      </w:r>
    </w:p>
    <w:p>
      <w:pPr>
        <w:jc w:val="left"/>
        <w:rPr>
          <w:rFonts w:hint="eastAsia"/>
          <w:sz w:val="32"/>
          <w:szCs w:val="32"/>
        </w:rPr>
      </w:pPr>
    </w:p>
    <w:p>
      <w:pPr>
        <w:jc w:val="left"/>
        <w:rPr>
          <w:rFonts w:ascii="华文仿宋" w:hAnsi="华文仿宋" w:eastAsia="华文仿宋"/>
          <w:sz w:val="32"/>
          <w:szCs w:val="32"/>
        </w:rPr>
      </w:pPr>
      <w:r>
        <w:rPr>
          <w:rFonts w:hint="eastAsia"/>
          <w:sz w:val="32"/>
          <w:szCs w:val="32"/>
        </w:rPr>
        <w:t xml:space="preserve">  </w:t>
      </w:r>
      <w:r>
        <w:rPr>
          <w:rFonts w:hint="eastAsia" w:ascii="华文仿宋" w:hAnsi="华文仿宋" w:eastAsia="华文仿宋"/>
          <w:sz w:val="32"/>
          <w:szCs w:val="32"/>
        </w:rPr>
        <w:t>报价单位（盖章）</w:t>
      </w:r>
      <w:r>
        <w:rPr>
          <w:rFonts w:ascii="华文仿宋" w:hAnsi="华文仿宋" w:eastAsia="华文仿宋"/>
          <w:sz w:val="32"/>
          <w:szCs w:val="32"/>
        </w:rPr>
        <w:t xml:space="preserve"> </w:t>
      </w:r>
      <w:r>
        <w:rPr>
          <w:rFonts w:hint="eastAsia" w:ascii="华文仿宋" w:hAnsi="华文仿宋" w:eastAsia="华文仿宋"/>
          <w:sz w:val="32"/>
          <w:szCs w:val="32"/>
          <w:u w:val="single"/>
        </w:rPr>
        <w:t xml:space="preserve">                    </w:t>
      </w:r>
    </w:p>
    <w:p>
      <w:pPr>
        <w:jc w:val="left"/>
        <w:rPr>
          <w:rFonts w:ascii="华文仿宋" w:hAnsi="华文仿宋" w:eastAsia="华文仿宋"/>
          <w:sz w:val="32"/>
          <w:szCs w:val="32"/>
          <w:u w:val="single"/>
        </w:rPr>
      </w:pPr>
      <w:r>
        <w:rPr>
          <w:rFonts w:hint="eastAsia" w:ascii="华文仿宋" w:hAnsi="华文仿宋" w:eastAsia="华文仿宋"/>
          <w:sz w:val="32"/>
          <w:szCs w:val="32"/>
        </w:rPr>
        <w:t xml:space="preserve">  法人或授权委托代理人（签字）  </w:t>
      </w:r>
      <w:r>
        <w:rPr>
          <w:rFonts w:hint="eastAsia" w:ascii="华文仿宋" w:hAnsi="华文仿宋" w:eastAsia="华文仿宋"/>
          <w:sz w:val="32"/>
          <w:szCs w:val="32"/>
          <w:u w:val="single"/>
        </w:rPr>
        <w:t xml:space="preserve">                          </w:t>
      </w:r>
    </w:p>
    <w:p>
      <w:pPr>
        <w:jc w:val="left"/>
        <w:rPr>
          <w:rFonts w:hint="eastAsia"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 xml:space="preserve">  联系电话 </w:t>
      </w:r>
      <w:r>
        <w:rPr>
          <w:rFonts w:hint="eastAsia" w:ascii="华文仿宋" w:hAnsi="华文仿宋" w:eastAsia="华文仿宋"/>
          <w:sz w:val="32"/>
          <w:szCs w:val="32"/>
          <w:u w:val="single"/>
        </w:rPr>
        <w:t xml:space="preserve">                          </w:t>
      </w:r>
    </w:p>
    <w:p>
      <w:pPr>
        <w:ind w:firstLine="320" w:firstLineChars="100"/>
        <w:jc w:val="left"/>
        <w:rPr>
          <w:rFonts w:hint="eastAsia" w:ascii="仿宋_GB2312" w:eastAsia="仿宋_GB2312"/>
          <w:sz w:val="30"/>
          <w:szCs w:val="30"/>
        </w:rPr>
      </w:pPr>
      <w:r>
        <w:rPr>
          <w:rFonts w:hint="eastAsia" w:ascii="华文仿宋" w:hAnsi="华文仿宋" w:eastAsia="华文仿宋"/>
          <w:sz w:val="32"/>
          <w:szCs w:val="32"/>
        </w:rPr>
        <w:t xml:space="preserve">报价日期 </w:t>
      </w:r>
      <w:r>
        <w:rPr>
          <w:rFonts w:hint="eastAsia" w:ascii="华文仿宋" w:hAnsi="华文仿宋" w:eastAsia="华文仿宋"/>
          <w:sz w:val="32"/>
          <w:szCs w:val="32"/>
          <w:u w:val="single"/>
        </w:rPr>
        <w:t xml:space="preserve">                          </w:t>
      </w:r>
    </w:p>
    <w:p>
      <w:pPr>
        <w:jc w:val="left"/>
        <w:rPr>
          <w:rFonts w:hint="eastAsia" w:ascii="仿宋_GB2312" w:eastAsia="仿宋_GB2312"/>
          <w:sz w:val="30"/>
          <w:szCs w:val="30"/>
        </w:rPr>
      </w:pPr>
    </w:p>
    <w:sectPr>
      <w:pgSz w:w="11906" w:h="16838"/>
      <w:pgMar w:top="1134" w:right="1418" w:bottom="1134" w:left="1418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dobe 楷体 Std R">
    <w:altName w:val="Arial Unicode MS"/>
    <w:panose1 w:val="00000000000000000000"/>
    <w:charset w:val="86"/>
    <w:family w:val="roman"/>
    <w:pitch w:val="default"/>
    <w:sig w:usb0="00000000" w:usb1="00000000" w:usb2="00000016" w:usb3="00000000" w:csb0="00060007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8502619"/>
    <w:multiLevelType w:val="multilevel"/>
    <w:tmpl w:val="38502619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decimal"/>
      <w:lvlText w:val="（%2）"/>
      <w:lvlJc w:val="left"/>
      <w:pPr>
        <w:ind w:left="1140" w:hanging="72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68B5D02"/>
    <w:multiLevelType w:val="multilevel"/>
    <w:tmpl w:val="568B5D02"/>
    <w:lvl w:ilvl="0" w:tentative="0">
      <w:start w:val="1"/>
      <w:numFmt w:val="upperLetter"/>
      <w:lvlText w:val="%1、"/>
      <w:lvlJc w:val="left"/>
      <w:pPr>
        <w:ind w:left="768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48" w:hanging="420"/>
      </w:pPr>
    </w:lvl>
    <w:lvl w:ilvl="2" w:tentative="0">
      <w:start w:val="1"/>
      <w:numFmt w:val="lowerRoman"/>
      <w:lvlText w:val="%3."/>
      <w:lvlJc w:val="right"/>
      <w:pPr>
        <w:ind w:left="1668" w:hanging="420"/>
      </w:pPr>
    </w:lvl>
    <w:lvl w:ilvl="3" w:tentative="0">
      <w:start w:val="1"/>
      <w:numFmt w:val="decimal"/>
      <w:lvlText w:val="%4."/>
      <w:lvlJc w:val="left"/>
      <w:pPr>
        <w:ind w:left="2088" w:hanging="420"/>
      </w:pPr>
    </w:lvl>
    <w:lvl w:ilvl="4" w:tentative="0">
      <w:start w:val="1"/>
      <w:numFmt w:val="lowerLetter"/>
      <w:lvlText w:val="%5)"/>
      <w:lvlJc w:val="left"/>
      <w:pPr>
        <w:ind w:left="2508" w:hanging="420"/>
      </w:pPr>
    </w:lvl>
    <w:lvl w:ilvl="5" w:tentative="0">
      <w:start w:val="1"/>
      <w:numFmt w:val="lowerRoman"/>
      <w:lvlText w:val="%6."/>
      <w:lvlJc w:val="right"/>
      <w:pPr>
        <w:ind w:left="2928" w:hanging="420"/>
      </w:pPr>
    </w:lvl>
    <w:lvl w:ilvl="6" w:tentative="0">
      <w:start w:val="1"/>
      <w:numFmt w:val="decimal"/>
      <w:lvlText w:val="%7."/>
      <w:lvlJc w:val="left"/>
      <w:pPr>
        <w:ind w:left="3348" w:hanging="420"/>
      </w:pPr>
    </w:lvl>
    <w:lvl w:ilvl="7" w:tentative="0">
      <w:start w:val="1"/>
      <w:numFmt w:val="lowerLetter"/>
      <w:lvlText w:val="%8)"/>
      <w:lvlJc w:val="left"/>
      <w:pPr>
        <w:ind w:left="3768" w:hanging="420"/>
      </w:pPr>
    </w:lvl>
    <w:lvl w:ilvl="8" w:tentative="0">
      <w:start w:val="1"/>
      <w:numFmt w:val="lowerRoman"/>
      <w:lvlText w:val="%9."/>
      <w:lvlJc w:val="right"/>
      <w:pPr>
        <w:ind w:left="4188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IwMTQ1NDM2YjgzM2M3MjE5ZDZhYmQ2ZTBjMmU3YmMifQ=="/>
  </w:docVars>
  <w:rsids>
    <w:rsidRoot w:val="0091064D"/>
    <w:rsid w:val="0000420E"/>
    <w:rsid w:val="000068AF"/>
    <w:rsid w:val="00012AC1"/>
    <w:rsid w:val="00013DE0"/>
    <w:rsid w:val="00015A1B"/>
    <w:rsid w:val="000462A0"/>
    <w:rsid w:val="00046BF8"/>
    <w:rsid w:val="00052514"/>
    <w:rsid w:val="0006010B"/>
    <w:rsid w:val="00070BAE"/>
    <w:rsid w:val="000804CB"/>
    <w:rsid w:val="00081632"/>
    <w:rsid w:val="0008202E"/>
    <w:rsid w:val="00086D22"/>
    <w:rsid w:val="00087FAB"/>
    <w:rsid w:val="00094257"/>
    <w:rsid w:val="000A79F5"/>
    <w:rsid w:val="000B6D18"/>
    <w:rsid w:val="000D0485"/>
    <w:rsid w:val="000D6283"/>
    <w:rsid w:val="000E1BE8"/>
    <w:rsid w:val="000E7259"/>
    <w:rsid w:val="000F2C78"/>
    <w:rsid w:val="00133B8D"/>
    <w:rsid w:val="001353D7"/>
    <w:rsid w:val="00144583"/>
    <w:rsid w:val="0014640E"/>
    <w:rsid w:val="001700E2"/>
    <w:rsid w:val="0017293D"/>
    <w:rsid w:val="001822C7"/>
    <w:rsid w:val="00184F99"/>
    <w:rsid w:val="00197964"/>
    <w:rsid w:val="001A3AD6"/>
    <w:rsid w:val="001A3B50"/>
    <w:rsid w:val="001C72F8"/>
    <w:rsid w:val="001C7635"/>
    <w:rsid w:val="001D05B2"/>
    <w:rsid w:val="001D0849"/>
    <w:rsid w:val="001E6ECC"/>
    <w:rsid w:val="001F1417"/>
    <w:rsid w:val="00204490"/>
    <w:rsid w:val="0023329E"/>
    <w:rsid w:val="00235D29"/>
    <w:rsid w:val="002371B4"/>
    <w:rsid w:val="00265843"/>
    <w:rsid w:val="00265A21"/>
    <w:rsid w:val="00274FD5"/>
    <w:rsid w:val="002765F4"/>
    <w:rsid w:val="00293309"/>
    <w:rsid w:val="0029538A"/>
    <w:rsid w:val="002C5867"/>
    <w:rsid w:val="002D2EDE"/>
    <w:rsid w:val="002F3778"/>
    <w:rsid w:val="00302902"/>
    <w:rsid w:val="003065A9"/>
    <w:rsid w:val="003210D2"/>
    <w:rsid w:val="00321917"/>
    <w:rsid w:val="00326B1E"/>
    <w:rsid w:val="00332473"/>
    <w:rsid w:val="00332C3C"/>
    <w:rsid w:val="003375E0"/>
    <w:rsid w:val="00345127"/>
    <w:rsid w:val="00361549"/>
    <w:rsid w:val="00382D4F"/>
    <w:rsid w:val="00393E34"/>
    <w:rsid w:val="003A77B4"/>
    <w:rsid w:val="003B0F06"/>
    <w:rsid w:val="003C21CB"/>
    <w:rsid w:val="003C24CF"/>
    <w:rsid w:val="003D1C4E"/>
    <w:rsid w:val="003D38BD"/>
    <w:rsid w:val="003E1BD0"/>
    <w:rsid w:val="003F2A06"/>
    <w:rsid w:val="003F3755"/>
    <w:rsid w:val="004135F6"/>
    <w:rsid w:val="00440AF2"/>
    <w:rsid w:val="00442F04"/>
    <w:rsid w:val="00457CFF"/>
    <w:rsid w:val="00470ADD"/>
    <w:rsid w:val="004A05A2"/>
    <w:rsid w:val="004C29F4"/>
    <w:rsid w:val="004F4A52"/>
    <w:rsid w:val="004F7CC3"/>
    <w:rsid w:val="00514C3E"/>
    <w:rsid w:val="00526A28"/>
    <w:rsid w:val="005316B2"/>
    <w:rsid w:val="00546F89"/>
    <w:rsid w:val="00573D9E"/>
    <w:rsid w:val="00577021"/>
    <w:rsid w:val="005C4508"/>
    <w:rsid w:val="005D7C44"/>
    <w:rsid w:val="005E3E2E"/>
    <w:rsid w:val="00603486"/>
    <w:rsid w:val="00617C71"/>
    <w:rsid w:val="00617FDC"/>
    <w:rsid w:val="00641606"/>
    <w:rsid w:val="00643601"/>
    <w:rsid w:val="0064658A"/>
    <w:rsid w:val="00651CBF"/>
    <w:rsid w:val="00656E08"/>
    <w:rsid w:val="00662FD0"/>
    <w:rsid w:val="00670703"/>
    <w:rsid w:val="00676DB5"/>
    <w:rsid w:val="00692188"/>
    <w:rsid w:val="006A71BF"/>
    <w:rsid w:val="006C5C7D"/>
    <w:rsid w:val="006D5E7C"/>
    <w:rsid w:val="006E0F72"/>
    <w:rsid w:val="006F6535"/>
    <w:rsid w:val="00706286"/>
    <w:rsid w:val="007125D9"/>
    <w:rsid w:val="00713B4A"/>
    <w:rsid w:val="00726555"/>
    <w:rsid w:val="00734C07"/>
    <w:rsid w:val="00740521"/>
    <w:rsid w:val="007455AC"/>
    <w:rsid w:val="007464E6"/>
    <w:rsid w:val="007506CC"/>
    <w:rsid w:val="00753A92"/>
    <w:rsid w:val="00761C98"/>
    <w:rsid w:val="00772479"/>
    <w:rsid w:val="00773D1B"/>
    <w:rsid w:val="007804A9"/>
    <w:rsid w:val="00783792"/>
    <w:rsid w:val="0078673D"/>
    <w:rsid w:val="007913EC"/>
    <w:rsid w:val="00796FDE"/>
    <w:rsid w:val="007A3E45"/>
    <w:rsid w:val="007A6011"/>
    <w:rsid w:val="007B254D"/>
    <w:rsid w:val="007C41F1"/>
    <w:rsid w:val="007D7C68"/>
    <w:rsid w:val="007E0B85"/>
    <w:rsid w:val="007E176D"/>
    <w:rsid w:val="007E1EAA"/>
    <w:rsid w:val="007E3614"/>
    <w:rsid w:val="00801BCC"/>
    <w:rsid w:val="008132CE"/>
    <w:rsid w:val="00817C62"/>
    <w:rsid w:val="00830C8A"/>
    <w:rsid w:val="00851FC4"/>
    <w:rsid w:val="00855980"/>
    <w:rsid w:val="0089132A"/>
    <w:rsid w:val="008B6299"/>
    <w:rsid w:val="008C0539"/>
    <w:rsid w:val="008D01DE"/>
    <w:rsid w:val="008E1372"/>
    <w:rsid w:val="008F3928"/>
    <w:rsid w:val="009075E7"/>
    <w:rsid w:val="0091023D"/>
    <w:rsid w:val="0091064D"/>
    <w:rsid w:val="00912821"/>
    <w:rsid w:val="00940E7A"/>
    <w:rsid w:val="00970E90"/>
    <w:rsid w:val="009916EF"/>
    <w:rsid w:val="009A108A"/>
    <w:rsid w:val="009A71E5"/>
    <w:rsid w:val="009C1F26"/>
    <w:rsid w:val="009D33B6"/>
    <w:rsid w:val="009D79E6"/>
    <w:rsid w:val="009E016F"/>
    <w:rsid w:val="009E0EE4"/>
    <w:rsid w:val="009F6FA1"/>
    <w:rsid w:val="00A00E4E"/>
    <w:rsid w:val="00A075FC"/>
    <w:rsid w:val="00A24239"/>
    <w:rsid w:val="00A412DC"/>
    <w:rsid w:val="00A41CEB"/>
    <w:rsid w:val="00A4360C"/>
    <w:rsid w:val="00A4536B"/>
    <w:rsid w:val="00A50542"/>
    <w:rsid w:val="00A52E7D"/>
    <w:rsid w:val="00A643AC"/>
    <w:rsid w:val="00A653D1"/>
    <w:rsid w:val="00A91C13"/>
    <w:rsid w:val="00A92F4F"/>
    <w:rsid w:val="00AD2036"/>
    <w:rsid w:val="00B11979"/>
    <w:rsid w:val="00B21374"/>
    <w:rsid w:val="00B25C28"/>
    <w:rsid w:val="00B52215"/>
    <w:rsid w:val="00B6422A"/>
    <w:rsid w:val="00B7042A"/>
    <w:rsid w:val="00B7190A"/>
    <w:rsid w:val="00BA1A58"/>
    <w:rsid w:val="00BB42C5"/>
    <w:rsid w:val="00BB76D7"/>
    <w:rsid w:val="00BC5F23"/>
    <w:rsid w:val="00BE2953"/>
    <w:rsid w:val="00BE4C10"/>
    <w:rsid w:val="00C10F35"/>
    <w:rsid w:val="00C30355"/>
    <w:rsid w:val="00C57E39"/>
    <w:rsid w:val="00C706A9"/>
    <w:rsid w:val="00C84D9F"/>
    <w:rsid w:val="00C87A8E"/>
    <w:rsid w:val="00C978DC"/>
    <w:rsid w:val="00CA3E15"/>
    <w:rsid w:val="00CB7EFF"/>
    <w:rsid w:val="00CC0561"/>
    <w:rsid w:val="00CD218E"/>
    <w:rsid w:val="00CE0E42"/>
    <w:rsid w:val="00CE7CD6"/>
    <w:rsid w:val="00CF11E3"/>
    <w:rsid w:val="00CF6B20"/>
    <w:rsid w:val="00D13E97"/>
    <w:rsid w:val="00D17F15"/>
    <w:rsid w:val="00D226EA"/>
    <w:rsid w:val="00D23759"/>
    <w:rsid w:val="00D31BE5"/>
    <w:rsid w:val="00D50EB6"/>
    <w:rsid w:val="00D75FDB"/>
    <w:rsid w:val="00D8346D"/>
    <w:rsid w:val="00D919E9"/>
    <w:rsid w:val="00DA2B3A"/>
    <w:rsid w:val="00DA547A"/>
    <w:rsid w:val="00DA6E52"/>
    <w:rsid w:val="00DC3F51"/>
    <w:rsid w:val="00DC6362"/>
    <w:rsid w:val="00DC7DB7"/>
    <w:rsid w:val="00DF3077"/>
    <w:rsid w:val="00E14531"/>
    <w:rsid w:val="00E1523E"/>
    <w:rsid w:val="00E16A8E"/>
    <w:rsid w:val="00E21227"/>
    <w:rsid w:val="00E21F09"/>
    <w:rsid w:val="00E33F64"/>
    <w:rsid w:val="00E40B21"/>
    <w:rsid w:val="00E415B5"/>
    <w:rsid w:val="00E5258E"/>
    <w:rsid w:val="00E5524E"/>
    <w:rsid w:val="00E6018A"/>
    <w:rsid w:val="00E852BE"/>
    <w:rsid w:val="00E94175"/>
    <w:rsid w:val="00E95890"/>
    <w:rsid w:val="00EA3EA5"/>
    <w:rsid w:val="00EB48ED"/>
    <w:rsid w:val="00EB4B86"/>
    <w:rsid w:val="00EB6560"/>
    <w:rsid w:val="00EC1404"/>
    <w:rsid w:val="00ED3778"/>
    <w:rsid w:val="00EE0E2B"/>
    <w:rsid w:val="00EF120C"/>
    <w:rsid w:val="00F129DC"/>
    <w:rsid w:val="00F15E79"/>
    <w:rsid w:val="00F2263B"/>
    <w:rsid w:val="00F523D0"/>
    <w:rsid w:val="00F620BA"/>
    <w:rsid w:val="00F67BBD"/>
    <w:rsid w:val="00F75A2D"/>
    <w:rsid w:val="00F81006"/>
    <w:rsid w:val="00FA1018"/>
    <w:rsid w:val="00FA26B6"/>
    <w:rsid w:val="00FB7A5E"/>
    <w:rsid w:val="00FE015D"/>
    <w:rsid w:val="00FE34DD"/>
    <w:rsid w:val="00FE43A0"/>
    <w:rsid w:val="00FE6A1A"/>
    <w:rsid w:val="00FE7BB2"/>
    <w:rsid w:val="07BC2382"/>
    <w:rsid w:val="0D964818"/>
    <w:rsid w:val="38FA5B57"/>
    <w:rsid w:val="3C58787A"/>
    <w:rsid w:val="71D47F2E"/>
    <w:rsid w:val="7F85633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oc 2"/>
    <w:basedOn w:val="1"/>
    <w:next w:val="1"/>
    <w:semiHidden/>
    <w:uiPriority w:val="0"/>
    <w:pPr>
      <w:spacing w:line="360" w:lineRule="exact"/>
      <w:ind w:left="210"/>
      <w:jc w:val="left"/>
    </w:pPr>
    <w:rPr>
      <w:smallCaps/>
      <w:sz w:val="20"/>
      <w:szCs w:val="20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FollowedHyperlink"/>
    <w:uiPriority w:val="0"/>
    <w:rPr>
      <w:color w:val="800080"/>
      <w:u w:val="single"/>
    </w:rPr>
  </w:style>
  <w:style w:type="character" w:styleId="9">
    <w:name w:val="Hyperlink"/>
    <w:uiPriority w:val="0"/>
    <w:rPr>
      <w:color w:val="0000FF"/>
      <w:u w:val="single"/>
    </w:rPr>
  </w:style>
  <w:style w:type="character" w:customStyle="1" w:styleId="10">
    <w:name w:val="页脚 Char"/>
    <w:link w:val="2"/>
    <w:uiPriority w:val="0"/>
    <w:rPr>
      <w:kern w:val="2"/>
      <w:sz w:val="18"/>
      <w:szCs w:val="18"/>
    </w:rPr>
  </w:style>
  <w:style w:type="character" w:customStyle="1" w:styleId="11">
    <w:name w:val="页眉 Char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MC SYSTEM</Company>
  <Pages>2</Pages>
  <Words>820</Words>
  <Characters>874</Characters>
  <Lines>11</Lines>
  <Paragraphs>3</Paragraphs>
  <TotalTime>2</TotalTime>
  <ScaleCrop>false</ScaleCrop>
  <LinksUpToDate>false</LinksUpToDate>
  <CharactersWithSpaces>999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2012-06-07T07:40:00Z</dcterms:created>
  <dc:creator>wxddany</dc:creator>
  <cp:lastModifiedBy>@清晨</cp:lastModifiedBy>
  <cp:lastPrinted>2022-08-19T04:26:00Z</cp:lastPrinted>
  <dcterms:modified xsi:type="dcterms:W3CDTF">2022-08-19T05:51:10Z</dcterms:modified>
  <dc:title>转让公告</dc:title>
  <cp:revision>276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D004CD418A18482DA64662411FE228BC</vt:lpwstr>
  </property>
</Properties>
</file>