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rPr>
          <w:rFonts w:ascii="Times New Roman"/>
          <w:sz w:val="20"/>
        </w:rPr>
      </w:pPr>
    </w:p>
    <w:p>
      <w:pPr>
        <w:pStyle w:val="13"/>
        <w:rPr>
          <w:rFonts w:ascii="Times New Roman"/>
          <w:sz w:val="20"/>
        </w:rPr>
      </w:pPr>
    </w:p>
    <w:p>
      <w:pPr>
        <w:pStyle w:val="13"/>
        <w:spacing w:before="4"/>
        <w:rPr>
          <w:rFonts w:ascii="Times New Roman"/>
        </w:rPr>
      </w:pPr>
    </w:p>
    <w:p>
      <w:pPr>
        <w:ind w:left="317" w:right="496"/>
        <w:jc w:val="center"/>
        <w:rPr>
          <w:rFonts w:asciiTheme="majorEastAsia" w:hAnsiTheme="majorEastAsia" w:eastAsiaTheme="majorEastAsia"/>
          <w:bCs/>
          <w:spacing w:val="-10"/>
          <w:sz w:val="36"/>
          <w:szCs w:val="36"/>
        </w:rPr>
      </w:pPr>
      <w:bookmarkStart w:id="0" w:name="封面"/>
      <w:bookmarkEnd w:id="0"/>
      <w:r>
        <w:rPr>
          <w:rFonts w:asciiTheme="majorEastAsia" w:hAnsiTheme="majorEastAsia" w:eastAsiaTheme="majorEastAsia"/>
          <w:bCs/>
          <w:spacing w:val="-10"/>
          <w:sz w:val="36"/>
          <w:szCs w:val="36"/>
        </w:rPr>
        <w:t>南通港码头管理有限公司3#—4#泊位水工结构及陆域</w:t>
      </w:r>
    </w:p>
    <w:p>
      <w:pPr>
        <w:ind w:left="317" w:right="496"/>
        <w:jc w:val="center"/>
        <w:rPr>
          <w:rFonts w:asciiTheme="majorEastAsia" w:hAnsiTheme="majorEastAsia" w:eastAsiaTheme="majorEastAsia"/>
          <w:bCs/>
          <w:sz w:val="36"/>
          <w:szCs w:val="36"/>
        </w:rPr>
      </w:pPr>
      <w:r>
        <w:rPr>
          <w:rFonts w:asciiTheme="majorEastAsia" w:hAnsiTheme="majorEastAsia" w:eastAsiaTheme="majorEastAsia"/>
          <w:bCs/>
          <w:spacing w:val="-10"/>
          <w:sz w:val="36"/>
          <w:szCs w:val="36"/>
        </w:rPr>
        <w:t>沉降位移观测服务</w:t>
      </w:r>
      <w:r>
        <w:rPr>
          <w:rFonts w:hint="eastAsia" w:asciiTheme="majorEastAsia" w:hAnsiTheme="majorEastAsia" w:eastAsiaTheme="majorEastAsia"/>
          <w:bCs/>
          <w:sz w:val="36"/>
          <w:szCs w:val="36"/>
        </w:rPr>
        <w:t>NTGMT-CJGC标段</w:t>
      </w:r>
    </w:p>
    <w:p>
      <w:pPr>
        <w:pStyle w:val="13"/>
        <w:spacing w:before="12"/>
        <w:rPr>
          <w:rFonts w:asciiTheme="majorEastAsia" w:hAnsiTheme="majorEastAsia" w:eastAsiaTheme="majorEastAsia"/>
          <w:bCs/>
          <w:sz w:val="6"/>
        </w:rPr>
      </w:pPr>
    </w:p>
    <w:p>
      <w:pPr>
        <w:pStyle w:val="13"/>
        <w:rPr>
          <w:rFonts w:asciiTheme="majorEastAsia" w:hAnsiTheme="majorEastAsia" w:eastAsiaTheme="majorEastAsia"/>
          <w:bCs/>
          <w:sz w:val="20"/>
        </w:rPr>
      </w:pPr>
    </w:p>
    <w:p>
      <w:pPr>
        <w:pStyle w:val="13"/>
        <w:rPr>
          <w:rFonts w:asciiTheme="majorEastAsia" w:hAnsiTheme="majorEastAsia" w:eastAsiaTheme="majorEastAsia"/>
          <w:bCs/>
          <w:sz w:val="20"/>
        </w:rPr>
      </w:pPr>
    </w:p>
    <w:p>
      <w:pPr>
        <w:pStyle w:val="13"/>
        <w:rPr>
          <w:rFonts w:asciiTheme="majorEastAsia" w:hAnsiTheme="majorEastAsia" w:eastAsiaTheme="majorEastAsia"/>
          <w:bCs/>
          <w:sz w:val="20"/>
        </w:rPr>
      </w:pPr>
    </w:p>
    <w:p>
      <w:pPr>
        <w:pStyle w:val="13"/>
        <w:rPr>
          <w:rFonts w:asciiTheme="majorEastAsia" w:hAnsiTheme="majorEastAsia" w:eastAsiaTheme="majorEastAsia"/>
          <w:bCs/>
          <w:sz w:val="20"/>
        </w:rPr>
      </w:pPr>
    </w:p>
    <w:p>
      <w:pPr>
        <w:pStyle w:val="13"/>
        <w:rPr>
          <w:rFonts w:asciiTheme="majorEastAsia" w:hAnsiTheme="majorEastAsia" w:eastAsiaTheme="majorEastAsia"/>
          <w:bCs/>
          <w:sz w:val="20"/>
        </w:rPr>
      </w:pPr>
    </w:p>
    <w:p>
      <w:pPr>
        <w:pStyle w:val="13"/>
        <w:rPr>
          <w:rFonts w:asciiTheme="majorEastAsia" w:hAnsiTheme="majorEastAsia" w:eastAsiaTheme="majorEastAsia"/>
          <w:bCs/>
          <w:sz w:val="20"/>
        </w:rPr>
      </w:pPr>
    </w:p>
    <w:p>
      <w:pPr>
        <w:pStyle w:val="13"/>
        <w:rPr>
          <w:rFonts w:asciiTheme="majorEastAsia" w:hAnsiTheme="majorEastAsia" w:eastAsiaTheme="majorEastAsia"/>
          <w:bCs/>
          <w:sz w:val="20"/>
        </w:rPr>
      </w:pPr>
    </w:p>
    <w:p>
      <w:pPr>
        <w:pStyle w:val="13"/>
        <w:rPr>
          <w:rFonts w:asciiTheme="majorEastAsia" w:hAnsiTheme="majorEastAsia" w:eastAsiaTheme="majorEastAsia"/>
          <w:bCs/>
          <w:sz w:val="20"/>
        </w:rPr>
      </w:pPr>
    </w:p>
    <w:p>
      <w:pPr>
        <w:pStyle w:val="13"/>
        <w:rPr>
          <w:rFonts w:asciiTheme="majorEastAsia" w:hAnsiTheme="majorEastAsia" w:eastAsiaTheme="majorEastAsia"/>
          <w:bCs/>
          <w:sz w:val="20"/>
        </w:rPr>
      </w:pPr>
    </w:p>
    <w:p>
      <w:pPr>
        <w:pStyle w:val="13"/>
        <w:rPr>
          <w:rFonts w:asciiTheme="majorEastAsia" w:hAnsiTheme="majorEastAsia" w:eastAsiaTheme="majorEastAsia"/>
          <w:bCs/>
          <w:sz w:val="20"/>
        </w:rPr>
      </w:pPr>
    </w:p>
    <w:p>
      <w:pPr>
        <w:pStyle w:val="13"/>
        <w:rPr>
          <w:rFonts w:asciiTheme="majorEastAsia" w:hAnsiTheme="majorEastAsia" w:eastAsiaTheme="majorEastAsia"/>
          <w:bCs/>
          <w:sz w:val="20"/>
        </w:rPr>
      </w:pPr>
    </w:p>
    <w:p>
      <w:pPr>
        <w:pStyle w:val="13"/>
        <w:rPr>
          <w:rFonts w:asciiTheme="majorEastAsia" w:hAnsiTheme="majorEastAsia" w:eastAsiaTheme="majorEastAsia"/>
          <w:bCs/>
          <w:sz w:val="20"/>
        </w:rPr>
      </w:pPr>
    </w:p>
    <w:p>
      <w:pPr>
        <w:pStyle w:val="2"/>
        <w:ind w:right="0"/>
        <w:rPr>
          <w:rFonts w:asciiTheme="majorEastAsia" w:hAnsiTheme="majorEastAsia" w:eastAsiaTheme="majorEastAsia"/>
          <w:b w:val="0"/>
          <w:sz w:val="84"/>
          <w:szCs w:val="84"/>
        </w:rPr>
      </w:pPr>
      <w:r>
        <w:rPr>
          <w:rFonts w:asciiTheme="majorEastAsia" w:hAnsiTheme="majorEastAsia" w:eastAsiaTheme="majorEastAsia"/>
          <w:b w:val="0"/>
          <w:sz w:val="84"/>
          <w:szCs w:val="84"/>
        </w:rPr>
        <w:t>招标 文 件</w:t>
      </w:r>
    </w:p>
    <w:p>
      <w:pPr>
        <w:pStyle w:val="13"/>
        <w:rPr>
          <w:rFonts w:asciiTheme="majorEastAsia" w:hAnsiTheme="majorEastAsia" w:eastAsiaTheme="majorEastAsia"/>
          <w:bCs/>
          <w:sz w:val="20"/>
        </w:rPr>
      </w:pPr>
    </w:p>
    <w:p>
      <w:pPr>
        <w:pStyle w:val="2"/>
        <w:ind w:right="0"/>
        <w:rPr>
          <w:rFonts w:asciiTheme="majorEastAsia" w:hAnsiTheme="majorEastAsia" w:eastAsiaTheme="majorEastAsia"/>
          <w:b w:val="0"/>
          <w:sz w:val="84"/>
          <w:szCs w:val="84"/>
        </w:rPr>
      </w:pPr>
      <w:r>
        <w:rPr>
          <w:rFonts w:hint="eastAsia" w:asciiTheme="majorEastAsia" w:hAnsiTheme="majorEastAsia" w:eastAsiaTheme="majorEastAsia"/>
          <w:b w:val="0"/>
          <w:sz w:val="84"/>
          <w:szCs w:val="84"/>
        </w:rPr>
        <w:t>（</w:t>
      </w:r>
      <w:r>
        <w:rPr>
          <w:rFonts w:hint="eastAsia" w:asciiTheme="majorEastAsia" w:hAnsiTheme="majorEastAsia" w:eastAsiaTheme="majorEastAsia"/>
          <w:b w:val="0"/>
          <w:sz w:val="84"/>
          <w:szCs w:val="84"/>
          <w:lang w:val="en-US"/>
        </w:rPr>
        <w:t>二次</w:t>
      </w:r>
      <w:r>
        <w:rPr>
          <w:rFonts w:hint="eastAsia" w:asciiTheme="majorEastAsia" w:hAnsiTheme="majorEastAsia" w:eastAsiaTheme="majorEastAsia"/>
          <w:b w:val="0"/>
          <w:sz w:val="84"/>
          <w:szCs w:val="84"/>
        </w:rPr>
        <w:t>）</w:t>
      </w:r>
    </w:p>
    <w:p>
      <w:pPr>
        <w:pStyle w:val="13"/>
        <w:rPr>
          <w:rFonts w:asciiTheme="majorEastAsia" w:hAnsiTheme="majorEastAsia" w:eastAsiaTheme="majorEastAsia"/>
          <w:bCs/>
          <w:sz w:val="20"/>
        </w:rPr>
      </w:pPr>
    </w:p>
    <w:p>
      <w:pPr>
        <w:pStyle w:val="13"/>
        <w:rPr>
          <w:rFonts w:asciiTheme="majorEastAsia" w:hAnsiTheme="majorEastAsia" w:eastAsiaTheme="majorEastAsia"/>
          <w:bCs/>
          <w:sz w:val="20"/>
        </w:rPr>
      </w:pPr>
    </w:p>
    <w:p>
      <w:pPr>
        <w:pStyle w:val="13"/>
        <w:rPr>
          <w:rFonts w:asciiTheme="majorEastAsia" w:hAnsiTheme="majorEastAsia" w:eastAsiaTheme="majorEastAsia"/>
          <w:bCs/>
          <w:sz w:val="20"/>
        </w:rPr>
      </w:pPr>
    </w:p>
    <w:p>
      <w:pPr>
        <w:pStyle w:val="13"/>
        <w:rPr>
          <w:rFonts w:asciiTheme="majorEastAsia" w:hAnsiTheme="majorEastAsia" w:eastAsiaTheme="majorEastAsia"/>
          <w:bCs/>
          <w:sz w:val="20"/>
        </w:rPr>
      </w:pPr>
    </w:p>
    <w:p>
      <w:pPr>
        <w:pStyle w:val="13"/>
        <w:rPr>
          <w:rFonts w:asciiTheme="majorEastAsia" w:hAnsiTheme="majorEastAsia" w:eastAsiaTheme="majorEastAsia"/>
          <w:bCs/>
          <w:sz w:val="20"/>
        </w:rPr>
      </w:pPr>
    </w:p>
    <w:p>
      <w:pPr>
        <w:pStyle w:val="13"/>
        <w:rPr>
          <w:rFonts w:asciiTheme="majorEastAsia" w:hAnsiTheme="majorEastAsia" w:eastAsiaTheme="majorEastAsia"/>
          <w:bCs/>
          <w:sz w:val="20"/>
        </w:rPr>
      </w:pPr>
    </w:p>
    <w:p>
      <w:pPr>
        <w:pStyle w:val="13"/>
        <w:rPr>
          <w:rFonts w:asciiTheme="majorEastAsia" w:hAnsiTheme="majorEastAsia" w:eastAsiaTheme="majorEastAsia"/>
          <w:bCs/>
          <w:sz w:val="20"/>
        </w:rPr>
      </w:pPr>
    </w:p>
    <w:p>
      <w:pPr>
        <w:pStyle w:val="13"/>
        <w:rPr>
          <w:rFonts w:asciiTheme="majorEastAsia" w:hAnsiTheme="majorEastAsia" w:eastAsiaTheme="majorEastAsia"/>
          <w:bCs/>
          <w:sz w:val="20"/>
        </w:rPr>
      </w:pPr>
    </w:p>
    <w:p>
      <w:pPr>
        <w:pStyle w:val="13"/>
        <w:rPr>
          <w:rFonts w:asciiTheme="majorEastAsia" w:hAnsiTheme="majorEastAsia" w:eastAsiaTheme="majorEastAsia"/>
          <w:bCs/>
          <w:sz w:val="20"/>
        </w:rPr>
      </w:pPr>
    </w:p>
    <w:p>
      <w:pPr>
        <w:pStyle w:val="13"/>
        <w:rPr>
          <w:rFonts w:asciiTheme="majorEastAsia" w:hAnsiTheme="majorEastAsia" w:eastAsiaTheme="majorEastAsia"/>
          <w:bCs/>
          <w:sz w:val="20"/>
        </w:rPr>
      </w:pPr>
    </w:p>
    <w:p>
      <w:pPr>
        <w:pStyle w:val="13"/>
        <w:rPr>
          <w:rFonts w:asciiTheme="majorEastAsia" w:hAnsiTheme="majorEastAsia" w:eastAsiaTheme="majorEastAsia"/>
          <w:bCs/>
          <w:sz w:val="20"/>
        </w:rPr>
      </w:pPr>
    </w:p>
    <w:p>
      <w:pPr>
        <w:pStyle w:val="13"/>
        <w:rPr>
          <w:rFonts w:asciiTheme="majorEastAsia" w:hAnsiTheme="majorEastAsia" w:eastAsiaTheme="majorEastAsia"/>
          <w:bCs/>
          <w:sz w:val="20"/>
        </w:rPr>
      </w:pPr>
    </w:p>
    <w:p>
      <w:pPr>
        <w:pStyle w:val="13"/>
        <w:rPr>
          <w:rFonts w:asciiTheme="majorEastAsia" w:hAnsiTheme="majorEastAsia" w:eastAsiaTheme="majorEastAsia"/>
          <w:bCs/>
          <w:sz w:val="20"/>
        </w:rPr>
      </w:pPr>
    </w:p>
    <w:p>
      <w:pPr>
        <w:pStyle w:val="13"/>
        <w:rPr>
          <w:rFonts w:asciiTheme="majorEastAsia" w:hAnsiTheme="majorEastAsia" w:eastAsiaTheme="majorEastAsia"/>
          <w:bCs/>
          <w:sz w:val="20"/>
        </w:rPr>
      </w:pPr>
    </w:p>
    <w:p>
      <w:pPr>
        <w:pStyle w:val="13"/>
        <w:spacing w:before="3"/>
        <w:rPr>
          <w:rFonts w:asciiTheme="majorEastAsia" w:hAnsiTheme="majorEastAsia" w:eastAsiaTheme="majorEastAsia"/>
          <w:bCs/>
          <w:sz w:val="11"/>
        </w:rPr>
      </w:pPr>
    </w:p>
    <w:p>
      <w:pPr>
        <w:pStyle w:val="6"/>
        <w:spacing w:line="484" w:lineRule="exact"/>
        <w:ind w:left="0"/>
        <w:jc w:val="center"/>
        <w:rPr>
          <w:rFonts w:asciiTheme="majorEastAsia" w:hAnsiTheme="majorEastAsia" w:eastAsiaTheme="majorEastAsia"/>
          <w:b w:val="0"/>
          <w:u w:val="none"/>
        </w:rPr>
      </w:pPr>
      <w:r>
        <w:rPr>
          <w:rFonts w:asciiTheme="majorEastAsia" w:hAnsiTheme="majorEastAsia" w:eastAsiaTheme="majorEastAsia"/>
          <w:b w:val="0"/>
          <w:u w:val="none"/>
        </w:rPr>
        <w:t>招 标 人：</w:t>
      </w:r>
      <w:r>
        <w:rPr>
          <w:rFonts w:asciiTheme="majorEastAsia" w:hAnsiTheme="majorEastAsia" w:eastAsiaTheme="majorEastAsia"/>
          <w:b w:val="0"/>
          <w:spacing w:val="196"/>
          <w:kern w:val="0"/>
          <w:u w:val="none"/>
          <w:fitText w:val="5040" w:id="-1814894592"/>
        </w:rPr>
        <w:t>南通港码头管理有限公</w:t>
      </w:r>
      <w:r>
        <w:rPr>
          <w:rFonts w:asciiTheme="majorEastAsia" w:hAnsiTheme="majorEastAsia" w:eastAsiaTheme="majorEastAsia"/>
          <w:b w:val="0"/>
          <w:spacing w:val="0"/>
          <w:kern w:val="0"/>
          <w:u w:val="none"/>
          <w:fitText w:val="5040" w:id="-1814894592"/>
        </w:rPr>
        <w:t>司</w:t>
      </w:r>
    </w:p>
    <w:p>
      <w:pPr>
        <w:pStyle w:val="6"/>
        <w:spacing w:line="484" w:lineRule="exact"/>
        <w:ind w:left="0"/>
        <w:jc w:val="center"/>
        <w:rPr>
          <w:rFonts w:asciiTheme="majorEastAsia" w:hAnsiTheme="majorEastAsia" w:eastAsiaTheme="majorEastAsia"/>
          <w:b w:val="0"/>
          <w:u w:val="none"/>
        </w:rPr>
      </w:pPr>
      <w:r>
        <w:rPr>
          <w:rFonts w:hint="eastAsia" w:asciiTheme="majorEastAsia" w:hAnsiTheme="majorEastAsia" w:eastAsiaTheme="majorEastAsia"/>
          <w:b w:val="0"/>
          <w:u w:val="none"/>
        </w:rPr>
        <w:t>招标代理：</w:t>
      </w:r>
      <w:bookmarkStart w:id="1" w:name="_Hlk55990751"/>
      <w:r>
        <w:rPr>
          <w:rFonts w:hint="eastAsia" w:asciiTheme="majorEastAsia" w:hAnsiTheme="majorEastAsia" w:eastAsiaTheme="majorEastAsia"/>
          <w:b w:val="0"/>
          <w:u w:val="none"/>
        </w:rPr>
        <w:t>中诚工程建设管理（苏州）股份有限公司</w:t>
      </w:r>
      <w:bookmarkEnd w:id="1"/>
    </w:p>
    <w:p>
      <w:pPr>
        <w:spacing w:line="484" w:lineRule="exact"/>
        <w:ind w:left="2262" w:right="2122"/>
        <w:jc w:val="center"/>
        <w:rPr>
          <w:rFonts w:asciiTheme="majorEastAsia" w:hAnsiTheme="majorEastAsia" w:eastAsiaTheme="majorEastAsia"/>
          <w:bCs/>
          <w:sz w:val="28"/>
        </w:rPr>
      </w:pPr>
      <w:r>
        <w:rPr>
          <w:rFonts w:hint="eastAsia" w:asciiTheme="majorEastAsia" w:hAnsiTheme="majorEastAsia" w:eastAsiaTheme="majorEastAsia"/>
          <w:bCs/>
          <w:sz w:val="28"/>
        </w:rPr>
        <w:t>20</w:t>
      </w:r>
      <w:r>
        <w:rPr>
          <w:rFonts w:asciiTheme="majorEastAsia" w:hAnsiTheme="majorEastAsia" w:eastAsiaTheme="majorEastAsia"/>
          <w:bCs/>
          <w:sz w:val="28"/>
        </w:rPr>
        <w:t>21</w:t>
      </w:r>
      <w:r>
        <w:rPr>
          <w:rFonts w:hint="eastAsia" w:asciiTheme="majorEastAsia" w:hAnsiTheme="majorEastAsia" w:eastAsiaTheme="majorEastAsia"/>
          <w:bCs/>
          <w:sz w:val="28"/>
        </w:rPr>
        <w:t>年</w:t>
      </w:r>
      <w:r>
        <w:rPr>
          <w:rFonts w:hint="eastAsia" w:asciiTheme="majorEastAsia" w:hAnsiTheme="majorEastAsia" w:eastAsiaTheme="majorEastAsia"/>
          <w:bCs/>
          <w:sz w:val="28"/>
          <w:lang w:val="en-US"/>
        </w:rPr>
        <w:t>9</w:t>
      </w:r>
      <w:r>
        <w:rPr>
          <w:rFonts w:hint="eastAsia" w:asciiTheme="majorEastAsia" w:hAnsiTheme="majorEastAsia" w:eastAsiaTheme="majorEastAsia"/>
          <w:bCs/>
          <w:sz w:val="28"/>
        </w:rPr>
        <w:t xml:space="preserve">月 </w:t>
      </w:r>
    </w:p>
    <w:p>
      <w:pPr>
        <w:spacing w:line="484" w:lineRule="exact"/>
        <w:rPr>
          <w:rFonts w:ascii="Microsoft JhengHei" w:eastAsia="Microsoft JhengHei"/>
          <w:sz w:val="28"/>
        </w:rPr>
        <w:sectPr>
          <w:type w:val="continuous"/>
          <w:pgSz w:w="12240" w:h="15840"/>
          <w:pgMar w:top="1361" w:right="1474" w:bottom="1361" w:left="1474" w:header="720" w:footer="720" w:gutter="0"/>
          <w:cols w:space="720" w:num="1"/>
        </w:sectPr>
      </w:pPr>
    </w:p>
    <w:p>
      <w:pPr>
        <w:pStyle w:val="7"/>
        <w:snapToGrid w:val="0"/>
        <w:spacing w:line="360" w:lineRule="auto"/>
        <w:ind w:left="317" w:right="496"/>
        <w:jc w:val="center"/>
        <w:rPr>
          <w:rFonts w:asciiTheme="minorEastAsia" w:hAnsiTheme="minorEastAsia" w:eastAsiaTheme="minorEastAsia"/>
        </w:rPr>
      </w:pPr>
      <w:bookmarkStart w:id="2" w:name="招标公告"/>
      <w:bookmarkEnd w:id="2"/>
      <w:r>
        <w:rPr>
          <w:rFonts w:asciiTheme="minorEastAsia" w:hAnsiTheme="minorEastAsia" w:eastAsiaTheme="minorEastAsia"/>
        </w:rPr>
        <w:t>第一章 招标公告</w:t>
      </w:r>
    </w:p>
    <w:p>
      <w:pPr>
        <w:snapToGrid w:val="0"/>
        <w:spacing w:line="360" w:lineRule="auto"/>
        <w:ind w:right="496"/>
        <w:jc w:val="center"/>
        <w:rPr>
          <w:rFonts w:asciiTheme="minorEastAsia" w:hAnsiTheme="minorEastAsia" w:eastAsiaTheme="minorEastAsia"/>
          <w:bCs/>
          <w:spacing w:val="-4"/>
          <w:sz w:val="23"/>
          <w:szCs w:val="23"/>
        </w:rPr>
      </w:pPr>
      <w:r>
        <w:rPr>
          <w:rFonts w:hint="eastAsia" w:asciiTheme="minorEastAsia" w:hAnsiTheme="minorEastAsia" w:eastAsiaTheme="minorEastAsia"/>
          <w:bCs/>
          <w:spacing w:val="-4"/>
          <w:sz w:val="23"/>
          <w:szCs w:val="23"/>
        </w:rPr>
        <w:t>南通港码头管理有限公司3#—4#泊位水工结构及陆域沉降位移观测服务</w:t>
      </w:r>
    </w:p>
    <w:p>
      <w:pPr>
        <w:snapToGrid w:val="0"/>
        <w:spacing w:line="360" w:lineRule="auto"/>
        <w:ind w:right="496"/>
        <w:jc w:val="center"/>
        <w:rPr>
          <w:rFonts w:asciiTheme="minorEastAsia" w:hAnsiTheme="minorEastAsia" w:eastAsiaTheme="minorEastAsia"/>
          <w:bCs/>
          <w:sz w:val="23"/>
          <w:szCs w:val="23"/>
        </w:rPr>
      </w:pPr>
      <w:r>
        <w:rPr>
          <w:rFonts w:asciiTheme="minorEastAsia" w:hAnsiTheme="minorEastAsia" w:eastAsiaTheme="minorEastAsia"/>
          <w:bCs/>
          <w:spacing w:val="-4"/>
          <w:sz w:val="23"/>
          <w:szCs w:val="23"/>
        </w:rPr>
        <w:t>NTGMT-CJGC标段</w:t>
      </w:r>
      <w:r>
        <w:rPr>
          <w:rFonts w:asciiTheme="minorEastAsia" w:hAnsiTheme="minorEastAsia" w:eastAsiaTheme="minorEastAsia"/>
          <w:bCs/>
          <w:sz w:val="23"/>
          <w:szCs w:val="23"/>
        </w:rPr>
        <w:t>招标公告</w:t>
      </w:r>
      <w:r>
        <w:rPr>
          <w:rFonts w:hint="eastAsia" w:asciiTheme="minorEastAsia" w:hAnsiTheme="minorEastAsia" w:eastAsiaTheme="minorEastAsia"/>
          <w:bCs/>
          <w:sz w:val="23"/>
          <w:szCs w:val="23"/>
        </w:rPr>
        <w:t>（</w:t>
      </w:r>
      <w:r>
        <w:rPr>
          <w:rFonts w:hint="eastAsia" w:asciiTheme="minorEastAsia" w:hAnsiTheme="minorEastAsia" w:eastAsiaTheme="minorEastAsia"/>
          <w:bCs/>
          <w:sz w:val="23"/>
          <w:szCs w:val="23"/>
          <w:lang w:val="en-US"/>
        </w:rPr>
        <w:t>二次</w:t>
      </w:r>
      <w:r>
        <w:rPr>
          <w:rFonts w:hint="eastAsia" w:asciiTheme="minorEastAsia" w:hAnsiTheme="minorEastAsia" w:eastAsiaTheme="minorEastAsia"/>
          <w:bCs/>
          <w:sz w:val="23"/>
          <w:szCs w:val="23"/>
        </w:rPr>
        <w:t>）</w:t>
      </w:r>
    </w:p>
    <w:p>
      <w:pPr>
        <w:pStyle w:val="7"/>
        <w:snapToGrid w:val="0"/>
        <w:spacing w:line="360" w:lineRule="auto"/>
        <w:rPr>
          <w:rFonts w:asciiTheme="minorEastAsia" w:hAnsiTheme="minorEastAsia" w:eastAsiaTheme="minorEastAsia"/>
          <w:bCs/>
          <w:sz w:val="23"/>
          <w:szCs w:val="23"/>
        </w:rPr>
      </w:pPr>
      <w:r>
        <w:rPr>
          <w:rFonts w:asciiTheme="minorEastAsia" w:hAnsiTheme="minorEastAsia" w:eastAsiaTheme="minorEastAsia"/>
          <w:bCs/>
          <w:sz w:val="23"/>
          <w:szCs w:val="23"/>
        </w:rPr>
        <w:t xml:space="preserve">1、招标条件 </w:t>
      </w:r>
    </w:p>
    <w:p>
      <w:pPr>
        <w:snapToGrid w:val="0"/>
        <w:spacing w:line="360" w:lineRule="auto"/>
        <w:ind w:firstLine="444" w:firstLineChars="200"/>
        <w:rPr>
          <w:rFonts w:asciiTheme="minorEastAsia" w:hAnsiTheme="minorEastAsia" w:eastAsiaTheme="minorEastAsia"/>
          <w:bCs/>
          <w:sz w:val="23"/>
          <w:szCs w:val="23"/>
        </w:rPr>
      </w:pPr>
      <w:r>
        <w:rPr>
          <w:rFonts w:hint="eastAsia" w:asciiTheme="minorEastAsia" w:hAnsiTheme="minorEastAsia" w:eastAsiaTheme="minorEastAsia"/>
          <w:bCs/>
          <w:spacing w:val="-4"/>
          <w:sz w:val="23"/>
          <w:szCs w:val="23"/>
          <w:u w:val="single"/>
        </w:rPr>
        <w:t>南通港码头管理有限公司3#—4#泊位水工结构及陆域沉降位移观测服务</w:t>
      </w:r>
      <w:r>
        <w:rPr>
          <w:rFonts w:hint="eastAsia" w:asciiTheme="minorEastAsia" w:hAnsiTheme="minorEastAsia" w:eastAsiaTheme="minorEastAsia"/>
          <w:bCs/>
          <w:sz w:val="23"/>
          <w:szCs w:val="23"/>
          <w:lang w:val="en-US"/>
        </w:rPr>
        <w:t>已经批准实施，资金已落实，为企业自筹</w:t>
      </w:r>
      <w:r>
        <w:rPr>
          <w:rFonts w:asciiTheme="minorEastAsia" w:hAnsiTheme="minorEastAsia" w:eastAsiaTheme="minorEastAsia"/>
          <w:bCs/>
          <w:sz w:val="23"/>
          <w:szCs w:val="23"/>
          <w:lang w:val="en-US"/>
        </w:rPr>
        <w:t>，项目出资比例为</w:t>
      </w:r>
      <w:r>
        <w:rPr>
          <w:rFonts w:hint="eastAsia" w:asciiTheme="minorEastAsia" w:hAnsiTheme="minorEastAsia" w:eastAsiaTheme="minorEastAsia"/>
          <w:bCs/>
          <w:sz w:val="23"/>
          <w:szCs w:val="23"/>
          <w:lang w:val="en-US"/>
        </w:rPr>
        <w:t>100%</w:t>
      </w:r>
      <w:r>
        <w:rPr>
          <w:rFonts w:asciiTheme="minorEastAsia" w:hAnsiTheme="minorEastAsia" w:eastAsiaTheme="minorEastAsia"/>
          <w:bCs/>
          <w:sz w:val="23"/>
          <w:szCs w:val="23"/>
          <w:lang w:val="en-US"/>
        </w:rPr>
        <w:t>，</w:t>
      </w:r>
      <w:r>
        <w:rPr>
          <w:rFonts w:hint="eastAsia" w:asciiTheme="minorEastAsia" w:hAnsiTheme="minorEastAsia" w:eastAsiaTheme="minorEastAsia"/>
          <w:bCs/>
          <w:sz w:val="23"/>
          <w:szCs w:val="23"/>
          <w:lang w:val="en-US"/>
        </w:rPr>
        <w:t>项目发包人为</w:t>
      </w:r>
      <w:r>
        <w:rPr>
          <w:rFonts w:hint="eastAsia" w:asciiTheme="minorEastAsia" w:hAnsiTheme="minorEastAsia" w:eastAsiaTheme="minorEastAsia"/>
          <w:bCs/>
          <w:sz w:val="23"/>
          <w:szCs w:val="23"/>
          <w:u w:val="single"/>
          <w:lang w:val="en-US"/>
        </w:rPr>
        <w:t>南通港码头管理有限公司</w:t>
      </w:r>
      <w:r>
        <w:rPr>
          <w:rFonts w:hint="eastAsia" w:asciiTheme="minorEastAsia" w:hAnsiTheme="minorEastAsia" w:eastAsiaTheme="minorEastAsia"/>
          <w:bCs/>
          <w:sz w:val="23"/>
          <w:szCs w:val="23"/>
          <w:lang w:val="en-US"/>
        </w:rPr>
        <w:t>，</w:t>
      </w:r>
      <w:r>
        <w:rPr>
          <w:rFonts w:asciiTheme="minorEastAsia" w:hAnsiTheme="minorEastAsia" w:eastAsiaTheme="minorEastAsia"/>
          <w:bCs/>
          <w:sz w:val="23"/>
          <w:szCs w:val="23"/>
          <w:lang w:val="en-US"/>
        </w:rPr>
        <w:t>招标人为</w:t>
      </w:r>
      <w:r>
        <w:rPr>
          <w:rFonts w:hint="eastAsia" w:asciiTheme="minorEastAsia" w:hAnsiTheme="minorEastAsia" w:eastAsiaTheme="minorEastAsia"/>
          <w:bCs/>
          <w:sz w:val="23"/>
          <w:szCs w:val="23"/>
          <w:u w:val="single"/>
          <w:lang w:val="en-US"/>
        </w:rPr>
        <w:t>南通港码头管理有限公司</w:t>
      </w:r>
      <w:r>
        <w:rPr>
          <w:rFonts w:asciiTheme="minorEastAsia" w:hAnsiTheme="minorEastAsia" w:eastAsiaTheme="minorEastAsia"/>
          <w:bCs/>
          <w:sz w:val="23"/>
          <w:szCs w:val="23"/>
          <w:lang w:val="en-US"/>
        </w:rPr>
        <w:t>。</w:t>
      </w:r>
      <w:r>
        <w:rPr>
          <w:rFonts w:asciiTheme="minorEastAsia" w:hAnsiTheme="minorEastAsia" w:eastAsiaTheme="minorEastAsia"/>
          <w:bCs/>
          <w:sz w:val="23"/>
          <w:szCs w:val="23"/>
        </w:rPr>
        <w:t>现招标人委托招标代理</w:t>
      </w:r>
      <w:r>
        <w:rPr>
          <w:rFonts w:hint="eastAsia" w:asciiTheme="minorEastAsia" w:hAnsiTheme="minorEastAsia" w:eastAsiaTheme="minorEastAsia"/>
          <w:bCs/>
          <w:sz w:val="23"/>
          <w:szCs w:val="23"/>
          <w:u w:val="single"/>
        </w:rPr>
        <w:t>中诚工程建设管理（苏州）股份有限公司</w:t>
      </w:r>
      <w:r>
        <w:rPr>
          <w:rFonts w:hint="eastAsia" w:asciiTheme="minorEastAsia" w:hAnsiTheme="minorEastAsia" w:eastAsiaTheme="minorEastAsia"/>
          <w:bCs/>
          <w:sz w:val="23"/>
          <w:szCs w:val="23"/>
        </w:rPr>
        <w:t>对沉降观测服务项目</w:t>
      </w:r>
      <w:r>
        <w:rPr>
          <w:rFonts w:hint="eastAsia" w:asciiTheme="minorEastAsia" w:hAnsiTheme="minorEastAsia" w:eastAsiaTheme="minorEastAsia"/>
          <w:bCs/>
          <w:spacing w:val="-4"/>
          <w:sz w:val="23"/>
          <w:szCs w:val="23"/>
          <w:u w:val="single"/>
        </w:rPr>
        <w:t>NTGMT-CJGC标段</w:t>
      </w:r>
      <w:r>
        <w:rPr>
          <w:rFonts w:asciiTheme="minorEastAsia" w:hAnsiTheme="minorEastAsia" w:eastAsiaTheme="minorEastAsia"/>
          <w:bCs/>
          <w:sz w:val="23"/>
          <w:szCs w:val="23"/>
        </w:rPr>
        <w:t>进行国内公开招标，欢迎符合本项目资格要求的单位按招标文件规定的内容和时间要求，参加本项目的投标。</w:t>
      </w:r>
    </w:p>
    <w:p>
      <w:pPr>
        <w:snapToGrid w:val="0"/>
        <w:spacing w:line="360" w:lineRule="auto"/>
        <w:rPr>
          <w:rFonts w:asciiTheme="minorEastAsia" w:hAnsiTheme="minorEastAsia" w:eastAsiaTheme="minorEastAsia"/>
          <w:bCs/>
          <w:sz w:val="23"/>
          <w:szCs w:val="23"/>
        </w:rPr>
      </w:pPr>
      <w:r>
        <w:rPr>
          <w:rFonts w:asciiTheme="minorEastAsia" w:hAnsiTheme="minorEastAsia" w:eastAsiaTheme="minorEastAsia"/>
          <w:bCs/>
          <w:sz w:val="23"/>
          <w:szCs w:val="23"/>
        </w:rPr>
        <w:t>2、项目概况与招标范围</w:t>
      </w:r>
    </w:p>
    <w:p>
      <w:pPr>
        <w:snapToGrid w:val="0"/>
        <w:spacing w:line="360" w:lineRule="auto"/>
        <w:rPr>
          <w:rFonts w:asciiTheme="minorEastAsia" w:hAnsiTheme="minorEastAsia" w:eastAsiaTheme="minorEastAsia"/>
          <w:bCs/>
          <w:sz w:val="23"/>
          <w:szCs w:val="23"/>
        </w:rPr>
      </w:pPr>
      <w:r>
        <w:rPr>
          <w:rFonts w:hint="eastAsia" w:asciiTheme="minorEastAsia" w:hAnsiTheme="minorEastAsia" w:eastAsiaTheme="minorEastAsia"/>
          <w:bCs/>
          <w:sz w:val="23"/>
          <w:szCs w:val="23"/>
        </w:rPr>
        <w:t>2.1 项目概况</w:t>
      </w:r>
    </w:p>
    <w:p>
      <w:pPr>
        <w:snapToGrid w:val="0"/>
        <w:spacing w:line="360" w:lineRule="auto"/>
        <w:ind w:firstLine="444" w:firstLineChars="200"/>
        <w:rPr>
          <w:rFonts w:asciiTheme="minorEastAsia" w:hAnsiTheme="minorEastAsia" w:eastAsiaTheme="minorEastAsia"/>
          <w:bCs/>
          <w:sz w:val="23"/>
          <w:szCs w:val="23"/>
          <w:lang w:val="en-US"/>
        </w:rPr>
      </w:pPr>
      <w:r>
        <w:rPr>
          <w:rFonts w:hint="eastAsia" w:asciiTheme="minorEastAsia" w:hAnsiTheme="minorEastAsia" w:eastAsiaTheme="minorEastAsia"/>
          <w:bCs/>
          <w:spacing w:val="-4"/>
          <w:sz w:val="23"/>
          <w:szCs w:val="23"/>
        </w:rPr>
        <w:t>南通港码头管理有限公司3#—4#泊位</w:t>
      </w:r>
      <w:r>
        <w:rPr>
          <w:rFonts w:hint="eastAsia" w:asciiTheme="minorEastAsia" w:hAnsiTheme="minorEastAsia" w:eastAsiaTheme="minorEastAsia"/>
          <w:bCs/>
          <w:sz w:val="23"/>
          <w:szCs w:val="23"/>
          <w:lang w:val="en-US"/>
        </w:rPr>
        <w:t xml:space="preserve">陆域部分总面积约43公顷，包括6个仓库、19个转运站、21个廊道以及28个单体房建,总计74个单体和堆场、道路等；码头前沿岸线长度约为436.5m，引桥三座，每座长度约为632m。 </w:t>
      </w:r>
    </w:p>
    <w:p>
      <w:pPr>
        <w:snapToGrid w:val="0"/>
        <w:spacing w:line="360" w:lineRule="auto"/>
        <w:rPr>
          <w:rFonts w:asciiTheme="minorEastAsia" w:hAnsiTheme="minorEastAsia" w:eastAsiaTheme="minorEastAsia"/>
          <w:bCs/>
          <w:sz w:val="23"/>
          <w:szCs w:val="23"/>
        </w:rPr>
      </w:pPr>
      <w:r>
        <w:rPr>
          <w:rFonts w:hint="eastAsia" w:asciiTheme="minorEastAsia" w:hAnsiTheme="minorEastAsia" w:eastAsiaTheme="minorEastAsia"/>
          <w:bCs/>
          <w:sz w:val="23"/>
          <w:szCs w:val="23"/>
        </w:rPr>
        <w:t>2</w:t>
      </w:r>
      <w:r>
        <w:rPr>
          <w:rFonts w:asciiTheme="minorEastAsia" w:hAnsiTheme="minorEastAsia" w:eastAsiaTheme="minorEastAsia"/>
          <w:bCs/>
          <w:sz w:val="23"/>
          <w:szCs w:val="23"/>
        </w:rPr>
        <w:t>.2</w:t>
      </w:r>
      <w:r>
        <w:rPr>
          <w:rFonts w:hint="eastAsia" w:asciiTheme="minorEastAsia" w:hAnsiTheme="minorEastAsia" w:eastAsiaTheme="minorEastAsia"/>
          <w:bCs/>
          <w:sz w:val="23"/>
          <w:szCs w:val="23"/>
        </w:rPr>
        <w:t>招标范围</w:t>
      </w:r>
    </w:p>
    <w:p>
      <w:pPr>
        <w:snapToGrid w:val="0"/>
        <w:spacing w:line="360" w:lineRule="auto"/>
        <w:ind w:firstLine="460" w:firstLineChars="200"/>
        <w:rPr>
          <w:rFonts w:asciiTheme="minorEastAsia" w:hAnsiTheme="minorEastAsia" w:eastAsiaTheme="minorEastAsia"/>
          <w:bCs/>
          <w:sz w:val="23"/>
          <w:szCs w:val="23"/>
        </w:rPr>
      </w:pPr>
      <w:r>
        <w:rPr>
          <w:rFonts w:hint="eastAsia" w:asciiTheme="minorEastAsia" w:hAnsiTheme="minorEastAsia" w:eastAsiaTheme="minorEastAsia"/>
          <w:bCs/>
          <w:sz w:val="23"/>
          <w:szCs w:val="23"/>
        </w:rPr>
        <w:t>本次南通港码头管理有限公司3#—4#泊位水工结构及陆域沉降位移观测服务招标共设</w:t>
      </w:r>
      <w:r>
        <w:rPr>
          <w:rFonts w:asciiTheme="minorEastAsia" w:hAnsiTheme="minorEastAsia" w:eastAsiaTheme="minorEastAsia"/>
          <w:bCs/>
          <w:sz w:val="23"/>
          <w:szCs w:val="23"/>
        </w:rPr>
        <w:t>1个合同段，即NTGMT-CJGC标段。</w:t>
      </w:r>
      <w:r>
        <w:rPr>
          <w:rFonts w:hint="eastAsia" w:asciiTheme="minorEastAsia" w:hAnsiTheme="minorEastAsia" w:eastAsiaTheme="minorEastAsia"/>
          <w:bCs/>
          <w:sz w:val="23"/>
          <w:szCs w:val="23"/>
        </w:rPr>
        <w:t>招标范围与内容即为对南通港天生港区横港沙作业区码头、引桥、建</w:t>
      </w:r>
      <w:r>
        <w:rPr>
          <w:rFonts w:asciiTheme="minorEastAsia" w:hAnsiTheme="minorEastAsia" w:eastAsiaTheme="minorEastAsia"/>
          <w:bCs/>
          <w:sz w:val="23"/>
          <w:szCs w:val="23"/>
        </w:rPr>
        <w:t>(构)筑物、道路、堆场等进行沉降位移观测，陆域部分约为500个观测点，码头、引桥部分约为120个观测点。</w:t>
      </w:r>
    </w:p>
    <w:p>
      <w:pPr>
        <w:snapToGrid w:val="0"/>
        <w:spacing w:line="360" w:lineRule="auto"/>
        <w:ind w:firstLine="460" w:firstLineChars="200"/>
        <w:rPr>
          <w:rFonts w:asciiTheme="minorEastAsia" w:hAnsiTheme="minorEastAsia" w:eastAsiaTheme="minorEastAsia"/>
          <w:bCs/>
          <w:sz w:val="23"/>
          <w:szCs w:val="23"/>
        </w:rPr>
      </w:pPr>
      <w:r>
        <w:rPr>
          <w:rFonts w:hint="eastAsia" w:asciiTheme="minorEastAsia" w:hAnsiTheme="minorEastAsia" w:eastAsiaTheme="minorEastAsia"/>
          <w:bCs/>
          <w:sz w:val="23"/>
          <w:szCs w:val="23"/>
        </w:rPr>
        <w:t>2</w:t>
      </w:r>
      <w:r>
        <w:rPr>
          <w:rFonts w:asciiTheme="minorEastAsia" w:hAnsiTheme="minorEastAsia" w:eastAsiaTheme="minorEastAsia"/>
          <w:bCs/>
          <w:sz w:val="23"/>
          <w:szCs w:val="23"/>
        </w:rPr>
        <w:t>.3</w:t>
      </w:r>
      <w:r>
        <w:rPr>
          <w:rFonts w:hint="eastAsia" w:asciiTheme="minorEastAsia" w:hAnsiTheme="minorEastAsia" w:eastAsiaTheme="minorEastAsia"/>
          <w:bCs/>
          <w:sz w:val="23"/>
          <w:szCs w:val="23"/>
        </w:rPr>
        <w:t>工作周期：合同签订后一年，每季度监测一次。</w:t>
      </w:r>
    </w:p>
    <w:p>
      <w:pPr>
        <w:pStyle w:val="7"/>
        <w:snapToGrid w:val="0"/>
        <w:spacing w:line="360" w:lineRule="auto"/>
        <w:ind w:left="0"/>
        <w:rPr>
          <w:rFonts w:asciiTheme="minorEastAsia" w:hAnsiTheme="minorEastAsia" w:eastAsiaTheme="minorEastAsia"/>
          <w:bCs/>
          <w:sz w:val="23"/>
          <w:szCs w:val="23"/>
        </w:rPr>
      </w:pPr>
      <w:r>
        <w:rPr>
          <w:rFonts w:asciiTheme="minorEastAsia" w:hAnsiTheme="minorEastAsia" w:eastAsiaTheme="minorEastAsia"/>
          <w:bCs/>
          <w:sz w:val="23"/>
          <w:szCs w:val="23"/>
        </w:rPr>
        <w:t>3、投标人资格要求</w:t>
      </w:r>
    </w:p>
    <w:p>
      <w:pPr>
        <w:snapToGrid w:val="0"/>
        <w:spacing w:line="360" w:lineRule="auto"/>
        <w:ind w:firstLine="460" w:firstLineChars="200"/>
        <w:rPr>
          <w:rFonts w:asciiTheme="minorEastAsia" w:hAnsiTheme="minorEastAsia" w:eastAsiaTheme="minorEastAsia"/>
          <w:bCs/>
          <w:sz w:val="23"/>
          <w:szCs w:val="23"/>
        </w:rPr>
      </w:pPr>
      <w:r>
        <w:rPr>
          <w:rFonts w:hint="eastAsia" w:asciiTheme="minorEastAsia" w:hAnsiTheme="minorEastAsia" w:eastAsiaTheme="minorEastAsia"/>
          <w:bCs/>
          <w:sz w:val="23"/>
          <w:szCs w:val="23"/>
        </w:rPr>
        <w:t>（</w:t>
      </w:r>
      <w:r>
        <w:rPr>
          <w:rFonts w:asciiTheme="minorEastAsia" w:hAnsiTheme="minorEastAsia" w:eastAsiaTheme="minorEastAsia"/>
          <w:bCs/>
          <w:sz w:val="23"/>
          <w:szCs w:val="23"/>
          <w:lang w:val="en-US"/>
        </w:rPr>
        <w:t>1</w:t>
      </w:r>
      <w:r>
        <w:rPr>
          <w:rFonts w:hint="eastAsia" w:asciiTheme="minorEastAsia" w:hAnsiTheme="minorEastAsia" w:eastAsiaTheme="minorEastAsia"/>
          <w:bCs/>
          <w:sz w:val="23"/>
          <w:szCs w:val="23"/>
        </w:rPr>
        <w:t>）</w:t>
      </w:r>
      <w:r>
        <w:rPr>
          <w:rFonts w:asciiTheme="minorEastAsia" w:hAnsiTheme="minorEastAsia" w:eastAsiaTheme="minorEastAsia"/>
          <w:bCs/>
          <w:sz w:val="23"/>
          <w:szCs w:val="23"/>
        </w:rPr>
        <w:t xml:space="preserve">投标人应为独立企业法人，具备有效的营业执照，具备有效的基本账户开户许可证或开户证明；具有测绘行政主管部门核发的乙级或以上测绘资质，或工程勘察综合类甲级资质或工程勘察专业类〖至少包括工程测量专业〗甲级资质。 </w:t>
      </w:r>
    </w:p>
    <w:p>
      <w:pPr>
        <w:snapToGrid w:val="0"/>
        <w:spacing w:line="360" w:lineRule="auto"/>
        <w:ind w:firstLine="460" w:firstLineChars="200"/>
        <w:rPr>
          <w:rFonts w:asciiTheme="minorEastAsia" w:hAnsiTheme="minorEastAsia" w:eastAsiaTheme="minorEastAsia"/>
          <w:bCs/>
          <w:sz w:val="23"/>
          <w:szCs w:val="23"/>
        </w:rPr>
      </w:pPr>
      <w:r>
        <w:rPr>
          <w:rFonts w:hint="eastAsia" w:asciiTheme="minorEastAsia" w:hAnsiTheme="minorEastAsia" w:eastAsiaTheme="minorEastAsia"/>
          <w:bCs/>
          <w:sz w:val="23"/>
          <w:szCs w:val="23"/>
        </w:rPr>
        <w:t>（2）</w:t>
      </w:r>
      <w:r>
        <w:rPr>
          <w:rFonts w:asciiTheme="minorEastAsia" w:hAnsiTheme="minorEastAsia" w:eastAsiaTheme="minorEastAsia"/>
          <w:bCs/>
          <w:sz w:val="23"/>
          <w:szCs w:val="23"/>
        </w:rPr>
        <w:t>2016年1月1日起至今（以项目完成时间为准），投标人完成过构筑物沉降观测项目；</w:t>
      </w:r>
    </w:p>
    <w:p>
      <w:pPr>
        <w:snapToGrid w:val="0"/>
        <w:spacing w:line="360" w:lineRule="auto"/>
        <w:ind w:firstLine="460" w:firstLineChars="200"/>
        <w:rPr>
          <w:rFonts w:asciiTheme="minorEastAsia" w:hAnsiTheme="minorEastAsia" w:eastAsiaTheme="minorEastAsia"/>
          <w:bCs/>
          <w:sz w:val="23"/>
          <w:szCs w:val="23"/>
        </w:rPr>
      </w:pPr>
      <w:r>
        <w:rPr>
          <w:rFonts w:hint="eastAsia" w:asciiTheme="minorEastAsia" w:hAnsiTheme="minorEastAsia" w:eastAsiaTheme="minorEastAsia"/>
          <w:bCs/>
          <w:sz w:val="23"/>
          <w:szCs w:val="23"/>
        </w:rPr>
        <w:t>（3）</w:t>
      </w:r>
      <w:r>
        <w:rPr>
          <w:rFonts w:asciiTheme="minorEastAsia" w:hAnsiTheme="minorEastAsia" w:eastAsiaTheme="minorEastAsia"/>
          <w:bCs/>
          <w:sz w:val="23"/>
          <w:szCs w:val="23"/>
        </w:rPr>
        <w:t>拟投入的项目负责人具备高级工程师</w:t>
      </w:r>
      <w:r>
        <w:rPr>
          <w:rFonts w:hint="eastAsia" w:asciiTheme="minorEastAsia" w:hAnsiTheme="minorEastAsia" w:eastAsiaTheme="minorEastAsia"/>
          <w:bCs/>
          <w:sz w:val="23"/>
          <w:szCs w:val="23"/>
        </w:rPr>
        <w:t>及</w:t>
      </w:r>
      <w:r>
        <w:rPr>
          <w:rFonts w:asciiTheme="minorEastAsia" w:hAnsiTheme="minorEastAsia" w:eastAsiaTheme="minorEastAsia"/>
          <w:bCs/>
          <w:sz w:val="23"/>
          <w:szCs w:val="23"/>
        </w:rPr>
        <w:t>以上技术职称</w:t>
      </w:r>
      <w:r>
        <w:rPr>
          <w:rFonts w:hint="eastAsia" w:asciiTheme="minorEastAsia" w:hAnsiTheme="minorEastAsia" w:eastAsiaTheme="minorEastAsia"/>
          <w:bCs/>
          <w:sz w:val="23"/>
          <w:szCs w:val="23"/>
        </w:rPr>
        <w:t>；</w:t>
      </w:r>
      <w:r>
        <w:rPr>
          <w:rFonts w:asciiTheme="minorEastAsia" w:hAnsiTheme="minorEastAsia" w:eastAsiaTheme="minorEastAsia"/>
          <w:bCs/>
          <w:sz w:val="23"/>
          <w:szCs w:val="23"/>
        </w:rPr>
        <w:t>2016年1月1日起至今（以项目完成时间为准）</w:t>
      </w:r>
      <w:r>
        <w:rPr>
          <w:rFonts w:hint="eastAsia" w:asciiTheme="minorEastAsia" w:hAnsiTheme="minorEastAsia" w:eastAsiaTheme="minorEastAsia"/>
          <w:bCs/>
          <w:sz w:val="23"/>
          <w:szCs w:val="23"/>
        </w:rPr>
        <w:t>，</w:t>
      </w:r>
      <w:r>
        <w:rPr>
          <w:rFonts w:asciiTheme="minorEastAsia" w:hAnsiTheme="minorEastAsia" w:eastAsiaTheme="minorEastAsia"/>
          <w:bCs/>
          <w:sz w:val="23"/>
          <w:szCs w:val="23"/>
        </w:rPr>
        <w:t>项目负责人</w:t>
      </w:r>
      <w:r>
        <w:rPr>
          <w:rFonts w:hint="eastAsia" w:asciiTheme="minorEastAsia" w:hAnsiTheme="minorEastAsia" w:eastAsiaTheme="minorEastAsia"/>
          <w:bCs/>
          <w:sz w:val="23"/>
          <w:szCs w:val="23"/>
        </w:rPr>
        <w:t>完成过构筑物沉降观测项目并</w:t>
      </w:r>
      <w:r>
        <w:rPr>
          <w:rFonts w:asciiTheme="minorEastAsia" w:hAnsiTheme="minorEastAsia" w:eastAsiaTheme="minorEastAsia"/>
          <w:bCs/>
          <w:sz w:val="23"/>
          <w:szCs w:val="23"/>
        </w:rPr>
        <w:t>担任</w:t>
      </w:r>
      <w:r>
        <w:rPr>
          <w:rFonts w:hint="eastAsia" w:asciiTheme="minorEastAsia" w:hAnsiTheme="minorEastAsia" w:eastAsiaTheme="minorEastAsia"/>
          <w:bCs/>
          <w:sz w:val="23"/>
          <w:szCs w:val="23"/>
        </w:rPr>
        <w:t>项目负责人</w:t>
      </w:r>
      <w:r>
        <w:rPr>
          <w:rFonts w:asciiTheme="minorEastAsia" w:hAnsiTheme="minorEastAsia" w:eastAsiaTheme="minorEastAsia"/>
          <w:bCs/>
          <w:sz w:val="23"/>
          <w:szCs w:val="23"/>
        </w:rPr>
        <w:t>；</w:t>
      </w:r>
    </w:p>
    <w:p>
      <w:pPr>
        <w:snapToGrid w:val="0"/>
        <w:spacing w:line="360" w:lineRule="auto"/>
        <w:ind w:firstLine="460" w:firstLineChars="200"/>
        <w:rPr>
          <w:rFonts w:asciiTheme="minorEastAsia" w:hAnsiTheme="minorEastAsia" w:eastAsiaTheme="minorEastAsia"/>
          <w:bCs/>
          <w:sz w:val="23"/>
          <w:szCs w:val="23"/>
        </w:rPr>
      </w:pPr>
      <w:r>
        <w:rPr>
          <w:rFonts w:hint="eastAsia" w:asciiTheme="minorEastAsia" w:hAnsiTheme="minorEastAsia" w:eastAsiaTheme="minorEastAsia"/>
          <w:bCs/>
          <w:sz w:val="23"/>
          <w:szCs w:val="23"/>
        </w:rPr>
        <w:t>（4）</w:t>
      </w:r>
      <w:r>
        <w:rPr>
          <w:rFonts w:asciiTheme="minorEastAsia" w:hAnsiTheme="minorEastAsia" w:eastAsiaTheme="minorEastAsia"/>
          <w:bCs/>
          <w:sz w:val="23"/>
          <w:szCs w:val="23"/>
        </w:rPr>
        <w:t>本项目不接受联合体投标。</w:t>
      </w:r>
    </w:p>
    <w:p>
      <w:pPr>
        <w:snapToGrid w:val="0"/>
        <w:spacing w:line="360" w:lineRule="auto"/>
        <w:ind w:firstLine="460" w:firstLineChars="200"/>
        <w:rPr>
          <w:rFonts w:asciiTheme="minorEastAsia" w:hAnsiTheme="minorEastAsia" w:eastAsiaTheme="minorEastAsia"/>
          <w:bCs/>
          <w:sz w:val="23"/>
          <w:szCs w:val="23"/>
        </w:rPr>
      </w:pPr>
      <w:r>
        <w:rPr>
          <w:rFonts w:hint="eastAsia" w:asciiTheme="minorEastAsia" w:hAnsiTheme="minorEastAsia" w:eastAsiaTheme="minorEastAsia"/>
          <w:bCs/>
          <w:sz w:val="23"/>
          <w:szCs w:val="23"/>
        </w:rPr>
        <w:t>（</w:t>
      </w:r>
      <w:r>
        <w:rPr>
          <w:rFonts w:asciiTheme="minorEastAsia" w:hAnsiTheme="minorEastAsia" w:eastAsiaTheme="minorEastAsia"/>
          <w:bCs/>
          <w:sz w:val="23"/>
          <w:szCs w:val="23"/>
        </w:rPr>
        <w:t>5</w:t>
      </w:r>
      <w:r>
        <w:rPr>
          <w:rFonts w:hint="eastAsia" w:asciiTheme="minorEastAsia" w:hAnsiTheme="minorEastAsia" w:eastAsiaTheme="minorEastAsia"/>
          <w:bCs/>
          <w:sz w:val="23"/>
          <w:szCs w:val="23"/>
        </w:rPr>
        <w:t>）</w:t>
      </w:r>
      <w:r>
        <w:rPr>
          <w:rFonts w:asciiTheme="minorEastAsia" w:hAnsiTheme="minorEastAsia" w:eastAsiaTheme="minorEastAsia"/>
          <w:bCs/>
          <w:sz w:val="23"/>
          <w:szCs w:val="23"/>
        </w:rPr>
        <w:t>与招标人存在利害关系可能影响招标公正性的法人、其他组织或者个人，不得参加本合同段的投标；单位负责人为同一人或者存在控股、管理关系的不同单位，不得同时参加同一合同段的投标，否则，其投标均无效。</w:t>
      </w:r>
    </w:p>
    <w:p>
      <w:pPr>
        <w:snapToGrid w:val="0"/>
        <w:spacing w:line="360" w:lineRule="auto"/>
        <w:ind w:firstLine="460" w:firstLineChars="200"/>
        <w:rPr>
          <w:rFonts w:asciiTheme="minorEastAsia" w:hAnsiTheme="minorEastAsia" w:eastAsiaTheme="minorEastAsia"/>
          <w:bCs/>
          <w:sz w:val="23"/>
          <w:szCs w:val="23"/>
        </w:rPr>
      </w:pPr>
      <w:r>
        <w:rPr>
          <w:rFonts w:hint="eastAsia" w:asciiTheme="minorEastAsia" w:hAnsiTheme="minorEastAsia" w:eastAsiaTheme="minorEastAsia"/>
          <w:bCs/>
          <w:sz w:val="23"/>
          <w:szCs w:val="23"/>
        </w:rPr>
        <w:t>（</w:t>
      </w:r>
      <w:r>
        <w:rPr>
          <w:rFonts w:asciiTheme="minorEastAsia" w:hAnsiTheme="minorEastAsia" w:eastAsiaTheme="minorEastAsia"/>
          <w:bCs/>
          <w:sz w:val="23"/>
          <w:szCs w:val="23"/>
        </w:rPr>
        <w:t>6</w:t>
      </w:r>
      <w:r>
        <w:rPr>
          <w:rFonts w:hint="eastAsia" w:asciiTheme="minorEastAsia" w:hAnsiTheme="minorEastAsia" w:eastAsiaTheme="minorEastAsia"/>
          <w:bCs/>
          <w:sz w:val="23"/>
          <w:szCs w:val="23"/>
        </w:rPr>
        <w:t>）截止投标文件递交时间当日，在“信用中国”网站（</w:t>
      </w:r>
      <w:r>
        <w:rPr>
          <w:rFonts w:asciiTheme="minorEastAsia" w:hAnsiTheme="minorEastAsia" w:eastAsiaTheme="minorEastAsia"/>
          <w:bCs/>
          <w:sz w:val="23"/>
          <w:szCs w:val="23"/>
        </w:rPr>
        <w:t>http://www.creditchina.gov.cn/）中被列入失信被执行人名单的投标人，不得参加投标。</w:t>
      </w:r>
    </w:p>
    <w:p>
      <w:pPr>
        <w:adjustRightInd w:val="0"/>
        <w:snapToGrid w:val="0"/>
        <w:spacing w:line="360" w:lineRule="auto"/>
        <w:rPr>
          <w:rFonts w:cs="Microsoft JhengHei Light" w:asciiTheme="minorEastAsia" w:hAnsiTheme="minorEastAsia" w:eastAsiaTheme="minorEastAsia"/>
          <w:bCs/>
          <w:sz w:val="23"/>
          <w:szCs w:val="23"/>
        </w:rPr>
      </w:pPr>
      <w:r>
        <w:rPr>
          <w:rFonts w:cs="Microsoft JhengHei Light" w:asciiTheme="minorEastAsia" w:hAnsiTheme="minorEastAsia" w:eastAsiaTheme="minorEastAsia"/>
          <w:bCs/>
          <w:sz w:val="23"/>
          <w:szCs w:val="23"/>
        </w:rPr>
        <w:t>4. 招标文件的获取</w:t>
      </w:r>
    </w:p>
    <w:p>
      <w:pPr>
        <w:snapToGrid w:val="0"/>
        <w:spacing w:line="360" w:lineRule="auto"/>
        <w:ind w:firstLine="460" w:firstLineChars="200"/>
        <w:rPr>
          <w:rFonts w:asciiTheme="minorEastAsia" w:hAnsiTheme="minorEastAsia" w:eastAsiaTheme="minorEastAsia"/>
          <w:bCs/>
          <w:sz w:val="23"/>
          <w:szCs w:val="23"/>
        </w:rPr>
      </w:pPr>
      <w:r>
        <w:rPr>
          <w:rFonts w:hint="eastAsia" w:asciiTheme="minorEastAsia" w:hAnsiTheme="minorEastAsia" w:eastAsiaTheme="minorEastAsia"/>
          <w:bCs/>
          <w:sz w:val="23"/>
          <w:szCs w:val="23"/>
        </w:rPr>
        <w:t>4.1凡有意参与本项目投标的，</w:t>
      </w:r>
      <w:r>
        <w:rPr>
          <w:rFonts w:asciiTheme="minorEastAsia" w:hAnsiTheme="minorEastAsia" w:eastAsiaTheme="minorEastAsia"/>
          <w:bCs/>
          <w:sz w:val="23"/>
          <w:szCs w:val="23"/>
        </w:rPr>
        <w:t>自公告上网发布之</w:t>
      </w:r>
      <w:r>
        <w:rPr>
          <w:rFonts w:hint="eastAsia" w:asciiTheme="minorEastAsia" w:hAnsiTheme="minorEastAsia" w:eastAsiaTheme="minorEastAsia"/>
          <w:bCs/>
          <w:sz w:val="23"/>
          <w:szCs w:val="23"/>
        </w:rPr>
        <w:t>日</w:t>
      </w:r>
      <w:r>
        <w:rPr>
          <w:rFonts w:asciiTheme="minorEastAsia" w:hAnsiTheme="minorEastAsia" w:eastAsiaTheme="minorEastAsia"/>
          <w:bCs/>
          <w:sz w:val="23"/>
          <w:szCs w:val="23"/>
        </w:rPr>
        <w:t>起</w:t>
      </w:r>
      <w:r>
        <w:rPr>
          <w:rFonts w:hint="eastAsia" w:asciiTheme="minorEastAsia" w:hAnsiTheme="minorEastAsia" w:eastAsiaTheme="minorEastAsia"/>
          <w:bCs/>
          <w:sz w:val="23"/>
          <w:szCs w:val="23"/>
          <w:lang w:val="en-US"/>
        </w:rPr>
        <w:t>至</w:t>
      </w:r>
      <w:r>
        <w:rPr>
          <w:rFonts w:hint="eastAsia" w:asciiTheme="minorEastAsia" w:hAnsiTheme="minorEastAsia" w:eastAsiaTheme="minorEastAsia"/>
          <w:b/>
          <w:sz w:val="23"/>
          <w:szCs w:val="23"/>
          <w:lang w:val="en-US"/>
        </w:rPr>
        <w:t>2021年9月</w:t>
      </w:r>
      <w:r>
        <w:rPr>
          <w:rFonts w:hint="eastAsia" w:asciiTheme="minorEastAsia" w:hAnsiTheme="minorEastAsia" w:eastAsiaTheme="minorEastAsia"/>
          <w:b/>
          <w:sz w:val="23"/>
          <w:szCs w:val="23"/>
          <w:lang w:val="en-US" w:eastAsia="zh-CN"/>
        </w:rPr>
        <w:t>27</w:t>
      </w:r>
      <w:r>
        <w:rPr>
          <w:rFonts w:hint="eastAsia" w:asciiTheme="minorEastAsia" w:hAnsiTheme="minorEastAsia" w:eastAsiaTheme="minorEastAsia"/>
          <w:b/>
          <w:sz w:val="23"/>
          <w:szCs w:val="23"/>
          <w:lang w:val="en-US"/>
        </w:rPr>
        <w:t>日</w:t>
      </w:r>
      <w:r>
        <w:rPr>
          <w:rFonts w:hint="eastAsia" w:asciiTheme="minorEastAsia" w:hAnsiTheme="minorEastAsia" w:eastAsiaTheme="minorEastAsia"/>
          <w:bCs/>
          <w:sz w:val="23"/>
          <w:szCs w:val="23"/>
        </w:rPr>
        <w:t>，每日工作时间：上午8:3</w:t>
      </w:r>
      <w:r>
        <w:rPr>
          <w:rFonts w:asciiTheme="minorEastAsia" w:hAnsiTheme="minorEastAsia" w:eastAsiaTheme="minorEastAsia"/>
          <w:bCs/>
          <w:sz w:val="23"/>
          <w:szCs w:val="23"/>
        </w:rPr>
        <w:t>0</w:t>
      </w:r>
      <w:r>
        <w:rPr>
          <w:rFonts w:hint="eastAsia" w:asciiTheme="minorEastAsia" w:hAnsiTheme="minorEastAsia" w:eastAsiaTheme="minorEastAsia"/>
          <w:bCs/>
          <w:sz w:val="23"/>
          <w:szCs w:val="23"/>
        </w:rPr>
        <w:t>—11:30整</w:t>
      </w:r>
      <w:r>
        <w:rPr>
          <w:rFonts w:asciiTheme="minorEastAsia" w:hAnsiTheme="minorEastAsia" w:eastAsiaTheme="minorEastAsia"/>
          <w:bCs/>
          <w:sz w:val="23"/>
          <w:szCs w:val="23"/>
        </w:rPr>
        <w:t>，</w:t>
      </w:r>
      <w:r>
        <w:rPr>
          <w:rFonts w:hint="eastAsia" w:asciiTheme="minorEastAsia" w:hAnsiTheme="minorEastAsia" w:eastAsiaTheme="minorEastAsia"/>
          <w:bCs/>
          <w:sz w:val="23"/>
          <w:szCs w:val="23"/>
        </w:rPr>
        <w:t>下午13:</w:t>
      </w:r>
      <w:r>
        <w:rPr>
          <w:rFonts w:asciiTheme="minorEastAsia" w:hAnsiTheme="minorEastAsia" w:eastAsiaTheme="minorEastAsia"/>
          <w:bCs/>
          <w:sz w:val="23"/>
          <w:szCs w:val="23"/>
        </w:rPr>
        <w:t>30—1</w:t>
      </w:r>
      <w:r>
        <w:rPr>
          <w:rFonts w:hint="eastAsia" w:asciiTheme="minorEastAsia" w:hAnsiTheme="minorEastAsia" w:eastAsiaTheme="minorEastAsia"/>
          <w:bCs/>
          <w:sz w:val="23"/>
          <w:szCs w:val="23"/>
        </w:rPr>
        <w:t>7:</w:t>
      </w:r>
      <w:r>
        <w:rPr>
          <w:rFonts w:asciiTheme="minorEastAsia" w:hAnsiTheme="minorEastAsia" w:eastAsiaTheme="minorEastAsia"/>
          <w:bCs/>
          <w:sz w:val="23"/>
          <w:szCs w:val="23"/>
        </w:rPr>
        <w:t>30</w:t>
      </w:r>
      <w:r>
        <w:rPr>
          <w:rFonts w:hint="eastAsia" w:asciiTheme="minorEastAsia" w:hAnsiTheme="minorEastAsia" w:eastAsiaTheme="minorEastAsia"/>
          <w:bCs/>
          <w:sz w:val="23"/>
          <w:szCs w:val="23"/>
        </w:rPr>
        <w:t>整（</w:t>
      </w:r>
      <w:r>
        <w:rPr>
          <w:rFonts w:asciiTheme="minorEastAsia" w:hAnsiTheme="minorEastAsia" w:eastAsiaTheme="minorEastAsia"/>
          <w:bCs/>
          <w:sz w:val="23"/>
          <w:szCs w:val="23"/>
        </w:rPr>
        <w:t>节假日</w:t>
      </w:r>
      <w:r>
        <w:rPr>
          <w:rFonts w:hint="eastAsia" w:asciiTheme="minorEastAsia" w:hAnsiTheme="minorEastAsia" w:eastAsiaTheme="minorEastAsia"/>
          <w:bCs/>
          <w:sz w:val="23"/>
          <w:szCs w:val="23"/>
        </w:rPr>
        <w:t>除外）向代理单位支付招标文件费用（招标文件请自</w:t>
      </w:r>
      <w:bookmarkStart w:id="3" w:name="_Hlk76668611"/>
      <w:r>
        <w:rPr>
          <w:rFonts w:hint="eastAsia" w:asciiTheme="minorEastAsia" w:hAnsiTheme="minorEastAsia" w:eastAsiaTheme="minorEastAsia"/>
          <w:bCs/>
          <w:sz w:val="23"/>
          <w:szCs w:val="23"/>
        </w:rPr>
        <w:t>南通港口集团有限公司</w:t>
      </w:r>
      <w:bookmarkEnd w:id="3"/>
      <w:r>
        <w:rPr>
          <w:rFonts w:hint="eastAsia" w:asciiTheme="minorEastAsia" w:hAnsiTheme="minorEastAsia" w:eastAsiaTheme="minorEastAsia"/>
          <w:bCs/>
          <w:sz w:val="23"/>
          <w:szCs w:val="23"/>
        </w:rPr>
        <w:t>网站自行下载。），未按上述要求支付招标文件费用的投标文件不予接收，视为放弃本项目投标资格。招标文件费用无论是否成交均不予退回。</w:t>
      </w:r>
    </w:p>
    <w:p>
      <w:pPr>
        <w:snapToGrid w:val="0"/>
        <w:spacing w:line="360" w:lineRule="auto"/>
        <w:ind w:firstLine="460" w:firstLineChars="200"/>
        <w:rPr>
          <w:rFonts w:asciiTheme="minorEastAsia" w:hAnsiTheme="minorEastAsia" w:eastAsiaTheme="minorEastAsia"/>
          <w:bCs/>
          <w:sz w:val="23"/>
          <w:szCs w:val="23"/>
        </w:rPr>
      </w:pPr>
      <w:r>
        <w:rPr>
          <w:rFonts w:hint="eastAsia" w:asciiTheme="minorEastAsia" w:hAnsiTheme="minorEastAsia" w:eastAsiaTheme="minorEastAsia"/>
          <w:bCs/>
          <w:sz w:val="23"/>
          <w:szCs w:val="23"/>
        </w:rPr>
        <w:t>招标文件每套售价</w:t>
      </w:r>
      <w:r>
        <w:rPr>
          <w:rFonts w:asciiTheme="minorEastAsia" w:hAnsiTheme="minorEastAsia" w:eastAsiaTheme="minorEastAsia"/>
          <w:bCs/>
          <w:sz w:val="23"/>
          <w:szCs w:val="23"/>
        </w:rPr>
        <w:t>5</w:t>
      </w:r>
      <w:r>
        <w:rPr>
          <w:rFonts w:hint="eastAsia" w:asciiTheme="minorEastAsia" w:hAnsiTheme="minorEastAsia" w:eastAsiaTheme="minorEastAsia"/>
          <w:bCs/>
          <w:sz w:val="23"/>
          <w:szCs w:val="23"/>
        </w:rPr>
        <w:t>00元，无论何种情况不予退还。</w:t>
      </w:r>
    </w:p>
    <w:p>
      <w:pPr>
        <w:snapToGrid w:val="0"/>
        <w:spacing w:line="360" w:lineRule="auto"/>
        <w:ind w:firstLine="460" w:firstLineChars="200"/>
        <w:rPr>
          <w:rFonts w:asciiTheme="minorEastAsia" w:hAnsiTheme="minorEastAsia" w:eastAsiaTheme="minorEastAsia"/>
          <w:bCs/>
          <w:sz w:val="23"/>
          <w:szCs w:val="23"/>
        </w:rPr>
      </w:pPr>
      <w:r>
        <w:rPr>
          <w:rFonts w:hint="eastAsia" w:asciiTheme="minorEastAsia" w:hAnsiTheme="minorEastAsia" w:eastAsiaTheme="minorEastAsia"/>
          <w:bCs/>
          <w:sz w:val="23"/>
          <w:szCs w:val="23"/>
        </w:rPr>
        <w:t>4.2代理单位联系人：周工，联系电话：</w:t>
      </w:r>
      <w:r>
        <w:rPr>
          <w:rFonts w:hint="eastAsia" w:asciiTheme="minorEastAsia" w:hAnsiTheme="minorEastAsia" w:eastAsiaTheme="minorEastAsia"/>
          <w:bCs/>
          <w:sz w:val="23"/>
          <w:szCs w:val="23"/>
          <w:lang w:val="en-US"/>
        </w:rPr>
        <w:t>18906275318</w:t>
      </w:r>
      <w:r>
        <w:rPr>
          <w:rFonts w:hint="eastAsia" w:asciiTheme="minorEastAsia" w:hAnsiTheme="minorEastAsia" w:eastAsiaTheme="minorEastAsia"/>
          <w:bCs/>
          <w:sz w:val="23"/>
          <w:szCs w:val="23"/>
        </w:rPr>
        <w:t>，QQ：2869312633。</w:t>
      </w:r>
    </w:p>
    <w:p>
      <w:pPr>
        <w:adjustRightInd w:val="0"/>
        <w:snapToGrid w:val="0"/>
        <w:spacing w:line="360" w:lineRule="auto"/>
        <w:rPr>
          <w:rFonts w:cs="Microsoft JhengHei Light" w:asciiTheme="minorEastAsia" w:hAnsiTheme="minorEastAsia" w:eastAsiaTheme="minorEastAsia"/>
          <w:bCs/>
          <w:sz w:val="23"/>
          <w:szCs w:val="23"/>
        </w:rPr>
      </w:pPr>
      <w:r>
        <w:rPr>
          <w:rFonts w:cs="Microsoft JhengHei Light" w:asciiTheme="minorEastAsia" w:hAnsiTheme="minorEastAsia" w:eastAsiaTheme="minorEastAsia"/>
          <w:bCs/>
          <w:sz w:val="23"/>
          <w:szCs w:val="23"/>
        </w:rPr>
        <w:t>5. 投标文件的递交及相关事宜</w:t>
      </w:r>
    </w:p>
    <w:p>
      <w:pPr>
        <w:adjustRightInd w:val="0"/>
        <w:snapToGrid w:val="0"/>
        <w:spacing w:line="360" w:lineRule="auto"/>
        <w:ind w:firstLine="460" w:firstLineChars="200"/>
        <w:rPr>
          <w:rFonts w:cs="Microsoft JhengHei Light" w:asciiTheme="minorEastAsia" w:hAnsiTheme="minorEastAsia" w:eastAsiaTheme="minorEastAsia"/>
          <w:bCs/>
          <w:sz w:val="23"/>
          <w:szCs w:val="23"/>
        </w:rPr>
      </w:pPr>
      <w:r>
        <w:rPr>
          <w:rFonts w:cs="Microsoft JhengHei Light" w:asciiTheme="minorEastAsia" w:hAnsiTheme="minorEastAsia" w:eastAsiaTheme="minorEastAsia"/>
          <w:bCs/>
          <w:sz w:val="23"/>
          <w:szCs w:val="23"/>
        </w:rPr>
        <w:t xml:space="preserve">5.1 </w:t>
      </w:r>
      <w:r>
        <w:rPr>
          <w:rFonts w:hint="eastAsia" w:cs="Microsoft JhengHei Light" w:asciiTheme="minorEastAsia" w:hAnsiTheme="minorEastAsia" w:eastAsiaTheme="minorEastAsia"/>
          <w:bCs/>
          <w:sz w:val="23"/>
          <w:szCs w:val="23"/>
        </w:rPr>
        <w:t>本项目不组织踏勘现场,不召开投标预备会。</w:t>
      </w:r>
    </w:p>
    <w:p>
      <w:pPr>
        <w:tabs>
          <w:tab w:val="left" w:pos="3100"/>
          <w:tab w:val="left" w:pos="3460"/>
          <w:tab w:val="left" w:pos="3700"/>
          <w:tab w:val="left" w:pos="4060"/>
          <w:tab w:val="left" w:pos="4300"/>
          <w:tab w:val="left" w:pos="4900"/>
          <w:tab w:val="left" w:pos="8025"/>
          <w:tab w:val="left" w:pos="8260"/>
          <w:tab w:val="left" w:pos="8500"/>
        </w:tabs>
        <w:adjustRightInd w:val="0"/>
        <w:snapToGrid w:val="0"/>
        <w:spacing w:line="360" w:lineRule="auto"/>
        <w:ind w:firstLine="460" w:firstLineChars="200"/>
        <w:rPr>
          <w:rFonts w:cs="Microsoft JhengHei Light" w:asciiTheme="minorEastAsia" w:hAnsiTheme="minorEastAsia" w:eastAsiaTheme="minorEastAsia"/>
          <w:bCs/>
          <w:sz w:val="23"/>
          <w:szCs w:val="23"/>
        </w:rPr>
      </w:pPr>
      <w:r>
        <w:rPr>
          <w:rFonts w:asciiTheme="minorEastAsia" w:hAnsiTheme="minorEastAsia" w:eastAsiaTheme="minorEastAsia"/>
          <w:bCs/>
          <w:sz w:val="23"/>
          <w:szCs w:val="23"/>
        </w:rPr>
        <w:t>5.2</w:t>
      </w:r>
      <w:r>
        <w:rPr>
          <w:rFonts w:hint="eastAsia" w:cs="Microsoft JhengHei Light" w:asciiTheme="minorEastAsia" w:hAnsiTheme="minorEastAsia" w:eastAsiaTheme="minorEastAsia"/>
          <w:bCs/>
          <w:sz w:val="23"/>
          <w:szCs w:val="23"/>
        </w:rPr>
        <w:t xml:space="preserve"> 本项目采用纸质投标。</w:t>
      </w:r>
    </w:p>
    <w:p>
      <w:pPr>
        <w:tabs>
          <w:tab w:val="left" w:pos="3100"/>
          <w:tab w:val="left" w:pos="3460"/>
          <w:tab w:val="left" w:pos="3700"/>
          <w:tab w:val="left" w:pos="4060"/>
          <w:tab w:val="left" w:pos="4300"/>
          <w:tab w:val="left" w:pos="4900"/>
          <w:tab w:val="left" w:pos="8025"/>
          <w:tab w:val="left" w:pos="8260"/>
          <w:tab w:val="left" w:pos="8500"/>
        </w:tabs>
        <w:adjustRightInd w:val="0"/>
        <w:snapToGrid w:val="0"/>
        <w:spacing w:line="360" w:lineRule="auto"/>
        <w:ind w:firstLine="420" w:firstLineChars="200"/>
        <w:rPr>
          <w:rFonts w:cs="Microsoft JhengHei Light" w:asciiTheme="minorEastAsia" w:hAnsiTheme="minorEastAsia"/>
          <w:bCs/>
          <w:sz w:val="23"/>
          <w:szCs w:val="23"/>
          <w:lang w:val="en-US"/>
        </w:rPr>
      </w:pPr>
      <w:r>
        <w:rPr>
          <w:rFonts w:hint="eastAsia"/>
          <w:sz w:val="21"/>
          <w:szCs w:val="21"/>
          <w:lang w:val="en-US"/>
        </w:rPr>
        <w:t>投标文件</w:t>
      </w:r>
      <w:r>
        <w:rPr>
          <w:rFonts w:hint="eastAsia"/>
          <w:sz w:val="21"/>
          <w:szCs w:val="21"/>
        </w:rPr>
        <w:t>递交时间：</w:t>
      </w:r>
      <w:r>
        <w:rPr>
          <w:rFonts w:hint="eastAsia" w:cs="Microsoft JhengHei Light" w:asciiTheme="minorEastAsia" w:hAnsiTheme="minorEastAsia" w:eastAsiaTheme="minorEastAsia"/>
          <w:bCs/>
          <w:sz w:val="23"/>
          <w:szCs w:val="23"/>
          <w:u w:val="single"/>
        </w:rPr>
        <w:t>2021年</w:t>
      </w:r>
      <w:r>
        <w:rPr>
          <w:rFonts w:hint="eastAsia" w:cs="Microsoft JhengHei Light" w:asciiTheme="minorEastAsia" w:hAnsiTheme="minorEastAsia" w:eastAsiaTheme="minorEastAsia"/>
          <w:bCs/>
          <w:sz w:val="23"/>
          <w:szCs w:val="23"/>
          <w:u w:val="single"/>
          <w:lang w:val="en-US" w:eastAsia="zh-CN"/>
        </w:rPr>
        <w:t>10</w:t>
      </w:r>
      <w:r>
        <w:rPr>
          <w:rFonts w:hint="eastAsia" w:cs="Microsoft JhengHei Light" w:asciiTheme="minorEastAsia" w:hAnsiTheme="minorEastAsia" w:eastAsiaTheme="minorEastAsia"/>
          <w:bCs/>
          <w:sz w:val="23"/>
          <w:szCs w:val="23"/>
          <w:u w:val="single"/>
        </w:rPr>
        <w:t>月</w:t>
      </w:r>
      <w:r>
        <w:rPr>
          <w:rFonts w:hint="eastAsia" w:cs="Microsoft JhengHei Light" w:asciiTheme="minorEastAsia" w:hAnsiTheme="minorEastAsia" w:eastAsiaTheme="minorEastAsia"/>
          <w:bCs/>
          <w:sz w:val="23"/>
          <w:szCs w:val="23"/>
          <w:u w:val="single"/>
          <w:lang w:val="en-US" w:eastAsia="zh-CN"/>
        </w:rPr>
        <w:t>12</w:t>
      </w:r>
      <w:r>
        <w:rPr>
          <w:rFonts w:hint="eastAsia" w:cs="Microsoft JhengHei Light" w:asciiTheme="minorEastAsia" w:hAnsiTheme="minorEastAsia" w:eastAsiaTheme="minorEastAsia"/>
          <w:bCs/>
          <w:sz w:val="23"/>
          <w:szCs w:val="23"/>
          <w:u w:val="single"/>
        </w:rPr>
        <w:t>日</w:t>
      </w:r>
      <w:r>
        <w:rPr>
          <w:rFonts w:hint="eastAsia" w:cs="Microsoft JhengHei Light" w:asciiTheme="minorEastAsia" w:hAnsiTheme="minorEastAsia" w:eastAsiaTheme="minorEastAsia"/>
          <w:bCs/>
          <w:sz w:val="23"/>
          <w:szCs w:val="23"/>
          <w:u w:val="single"/>
          <w:lang w:val="en-US"/>
        </w:rPr>
        <w:t>9</w:t>
      </w:r>
      <w:r>
        <w:rPr>
          <w:rFonts w:hint="eastAsia" w:cs="Microsoft JhengHei Light" w:asciiTheme="minorEastAsia" w:hAnsiTheme="minorEastAsia" w:eastAsiaTheme="minorEastAsia"/>
          <w:bCs/>
          <w:sz w:val="23"/>
          <w:szCs w:val="23"/>
          <w:u w:val="single"/>
        </w:rPr>
        <w:t>:</w:t>
      </w:r>
      <w:r>
        <w:rPr>
          <w:rFonts w:hint="eastAsia" w:cs="Microsoft JhengHei Light" w:asciiTheme="minorEastAsia" w:hAnsiTheme="minorEastAsia" w:eastAsiaTheme="minorEastAsia"/>
          <w:bCs/>
          <w:sz w:val="23"/>
          <w:szCs w:val="23"/>
          <w:u w:val="single"/>
          <w:lang w:val="en-US"/>
        </w:rPr>
        <w:t>0</w:t>
      </w:r>
      <w:r>
        <w:rPr>
          <w:rFonts w:hint="eastAsia" w:cs="Microsoft JhengHei Light" w:asciiTheme="minorEastAsia" w:hAnsiTheme="minorEastAsia" w:eastAsiaTheme="minorEastAsia"/>
          <w:bCs/>
          <w:sz w:val="23"/>
          <w:szCs w:val="23"/>
          <w:u w:val="single"/>
        </w:rPr>
        <w:t>0—</w:t>
      </w:r>
      <w:r>
        <w:rPr>
          <w:rFonts w:hint="eastAsia" w:cs="Microsoft JhengHei Light" w:asciiTheme="minorEastAsia" w:hAnsiTheme="minorEastAsia" w:eastAsiaTheme="minorEastAsia"/>
          <w:bCs/>
          <w:sz w:val="23"/>
          <w:szCs w:val="23"/>
          <w:u w:val="single"/>
          <w:lang w:val="en-US"/>
        </w:rPr>
        <w:t>9</w:t>
      </w:r>
      <w:r>
        <w:rPr>
          <w:rFonts w:hint="eastAsia" w:cs="Microsoft JhengHei Light" w:asciiTheme="minorEastAsia" w:hAnsiTheme="minorEastAsia" w:eastAsiaTheme="minorEastAsia"/>
          <w:bCs/>
          <w:sz w:val="23"/>
          <w:szCs w:val="23"/>
          <w:u w:val="single"/>
        </w:rPr>
        <w:t>:</w:t>
      </w:r>
      <w:r>
        <w:rPr>
          <w:rFonts w:hint="eastAsia" w:cs="Microsoft JhengHei Light" w:asciiTheme="minorEastAsia" w:hAnsiTheme="minorEastAsia" w:eastAsiaTheme="minorEastAsia"/>
          <w:bCs/>
          <w:sz w:val="23"/>
          <w:szCs w:val="23"/>
          <w:u w:val="single"/>
          <w:lang w:val="en-US"/>
        </w:rPr>
        <w:t>3</w:t>
      </w:r>
      <w:r>
        <w:rPr>
          <w:rFonts w:hint="eastAsia" w:cs="Microsoft JhengHei Light" w:asciiTheme="minorEastAsia" w:hAnsiTheme="minorEastAsia" w:eastAsiaTheme="minorEastAsia"/>
          <w:bCs/>
          <w:sz w:val="23"/>
          <w:szCs w:val="23"/>
          <w:u w:val="single"/>
        </w:rPr>
        <w:t>0</w:t>
      </w:r>
      <w:r>
        <w:rPr>
          <w:rFonts w:hint="eastAsia" w:cs="Microsoft JhengHei Light" w:asciiTheme="minorEastAsia" w:hAnsiTheme="minorEastAsia" w:eastAsiaTheme="minorEastAsia"/>
          <w:bCs/>
          <w:sz w:val="23"/>
          <w:szCs w:val="23"/>
          <w:u w:val="single"/>
          <w:lang w:val="en-US"/>
        </w:rPr>
        <w:t>整。</w:t>
      </w:r>
    </w:p>
    <w:p>
      <w:pPr>
        <w:tabs>
          <w:tab w:val="left" w:pos="3100"/>
          <w:tab w:val="left" w:pos="3460"/>
          <w:tab w:val="left" w:pos="3700"/>
          <w:tab w:val="left" w:pos="4060"/>
          <w:tab w:val="left" w:pos="4300"/>
          <w:tab w:val="left" w:pos="4900"/>
          <w:tab w:val="left" w:pos="8025"/>
          <w:tab w:val="left" w:pos="8260"/>
          <w:tab w:val="left" w:pos="8500"/>
        </w:tabs>
        <w:adjustRightInd w:val="0"/>
        <w:snapToGrid w:val="0"/>
        <w:spacing w:line="360" w:lineRule="auto"/>
        <w:ind w:firstLine="460" w:firstLineChars="200"/>
        <w:rPr>
          <w:rFonts w:cs="Microsoft JhengHei Light" w:asciiTheme="minorEastAsia" w:hAnsiTheme="minorEastAsia" w:eastAsiaTheme="minorEastAsia"/>
          <w:bCs/>
          <w:sz w:val="23"/>
          <w:szCs w:val="23"/>
        </w:rPr>
      </w:pPr>
      <w:r>
        <w:rPr>
          <w:rFonts w:hint="eastAsia" w:cs="Microsoft JhengHei Light" w:asciiTheme="minorEastAsia" w:hAnsiTheme="minorEastAsia" w:eastAsiaTheme="minorEastAsia"/>
          <w:bCs/>
          <w:sz w:val="23"/>
          <w:szCs w:val="23"/>
        </w:rPr>
        <w:t>投标文件</w:t>
      </w:r>
      <w:r>
        <w:rPr>
          <w:rFonts w:cs="Microsoft JhengHei Light" w:asciiTheme="minorEastAsia" w:hAnsiTheme="minorEastAsia" w:eastAsiaTheme="minorEastAsia"/>
          <w:bCs/>
          <w:sz w:val="23"/>
          <w:szCs w:val="23"/>
        </w:rPr>
        <w:t>递交的截止时间</w:t>
      </w:r>
      <w:r>
        <w:rPr>
          <w:rFonts w:hint="eastAsia" w:cs="Microsoft JhengHei Light" w:asciiTheme="minorEastAsia" w:hAnsiTheme="minorEastAsia" w:eastAsiaTheme="minorEastAsia"/>
          <w:bCs/>
          <w:sz w:val="23"/>
          <w:szCs w:val="23"/>
        </w:rPr>
        <w:t>为</w:t>
      </w:r>
      <w:r>
        <w:rPr>
          <w:rFonts w:hint="eastAsia" w:cs="Microsoft JhengHei Light" w:asciiTheme="minorEastAsia" w:hAnsiTheme="minorEastAsia" w:eastAsiaTheme="minorEastAsia"/>
          <w:bCs/>
          <w:sz w:val="23"/>
          <w:szCs w:val="23"/>
          <w:u w:val="single"/>
        </w:rPr>
        <w:t>2021年</w:t>
      </w:r>
      <w:r>
        <w:rPr>
          <w:rFonts w:hint="eastAsia" w:cs="Microsoft JhengHei Light" w:asciiTheme="minorEastAsia" w:hAnsiTheme="minorEastAsia" w:eastAsiaTheme="minorEastAsia"/>
          <w:bCs/>
          <w:sz w:val="23"/>
          <w:szCs w:val="23"/>
          <w:u w:val="single"/>
          <w:lang w:val="en-US" w:eastAsia="zh-CN"/>
        </w:rPr>
        <w:t>10</w:t>
      </w:r>
      <w:r>
        <w:rPr>
          <w:rFonts w:hint="eastAsia" w:cs="Microsoft JhengHei Light" w:asciiTheme="minorEastAsia" w:hAnsiTheme="minorEastAsia" w:eastAsiaTheme="minorEastAsia"/>
          <w:bCs/>
          <w:sz w:val="23"/>
          <w:szCs w:val="23"/>
          <w:u w:val="single"/>
        </w:rPr>
        <w:t>月</w:t>
      </w:r>
      <w:r>
        <w:rPr>
          <w:rFonts w:hint="eastAsia" w:cs="Microsoft JhengHei Light" w:asciiTheme="minorEastAsia" w:hAnsiTheme="minorEastAsia" w:eastAsiaTheme="minorEastAsia"/>
          <w:bCs/>
          <w:sz w:val="23"/>
          <w:szCs w:val="23"/>
          <w:u w:val="single"/>
          <w:lang w:val="en-US" w:eastAsia="zh-CN"/>
        </w:rPr>
        <w:t>12</w:t>
      </w:r>
      <w:r>
        <w:rPr>
          <w:rFonts w:hint="eastAsia" w:cs="Microsoft JhengHei Light" w:asciiTheme="minorEastAsia" w:hAnsiTheme="minorEastAsia" w:eastAsiaTheme="minorEastAsia"/>
          <w:bCs/>
          <w:sz w:val="23"/>
          <w:szCs w:val="23"/>
          <w:u w:val="single"/>
        </w:rPr>
        <w:t>日</w:t>
      </w:r>
      <w:r>
        <w:rPr>
          <w:rFonts w:hint="eastAsia" w:cs="Microsoft JhengHei Light" w:asciiTheme="minorEastAsia" w:hAnsiTheme="minorEastAsia" w:eastAsiaTheme="minorEastAsia"/>
          <w:bCs/>
          <w:sz w:val="23"/>
          <w:szCs w:val="23"/>
          <w:u w:val="single"/>
          <w:lang w:val="en-US"/>
        </w:rPr>
        <w:t>9:30整</w:t>
      </w:r>
      <w:r>
        <w:rPr>
          <w:rFonts w:hint="eastAsia" w:cs="Microsoft JhengHei Light" w:asciiTheme="minorEastAsia" w:hAnsiTheme="minorEastAsia" w:eastAsiaTheme="minorEastAsia"/>
          <w:bCs/>
          <w:sz w:val="23"/>
          <w:szCs w:val="23"/>
        </w:rPr>
        <w:t>。</w:t>
      </w:r>
    </w:p>
    <w:p>
      <w:pPr>
        <w:tabs>
          <w:tab w:val="left" w:pos="3100"/>
          <w:tab w:val="left" w:pos="3460"/>
          <w:tab w:val="left" w:pos="3700"/>
          <w:tab w:val="left" w:pos="4060"/>
          <w:tab w:val="left" w:pos="4300"/>
          <w:tab w:val="left" w:pos="4900"/>
          <w:tab w:val="left" w:pos="8025"/>
          <w:tab w:val="left" w:pos="8260"/>
          <w:tab w:val="left" w:pos="8500"/>
        </w:tabs>
        <w:adjustRightInd w:val="0"/>
        <w:snapToGrid w:val="0"/>
        <w:spacing w:line="360" w:lineRule="auto"/>
        <w:ind w:firstLine="460" w:firstLineChars="200"/>
        <w:rPr>
          <w:rFonts w:cs="Microsoft JhengHei Light" w:asciiTheme="minorEastAsia" w:hAnsiTheme="minorEastAsia"/>
          <w:bCs/>
          <w:sz w:val="23"/>
          <w:szCs w:val="23"/>
        </w:rPr>
      </w:pPr>
      <w:r>
        <w:rPr>
          <w:rFonts w:hint="eastAsia" w:cs="Microsoft JhengHei Light" w:asciiTheme="minorEastAsia" w:hAnsiTheme="minorEastAsia" w:eastAsiaTheme="minorEastAsia"/>
          <w:bCs/>
          <w:sz w:val="23"/>
          <w:szCs w:val="23"/>
        </w:rPr>
        <w:t>投标文件</w:t>
      </w:r>
      <w:r>
        <w:rPr>
          <w:rFonts w:cs="Microsoft JhengHei Light" w:asciiTheme="minorEastAsia" w:hAnsiTheme="minorEastAsia" w:eastAsiaTheme="minorEastAsia"/>
          <w:bCs/>
          <w:sz w:val="23"/>
          <w:szCs w:val="23"/>
        </w:rPr>
        <w:t>递交的</w:t>
      </w:r>
      <w:r>
        <w:rPr>
          <w:rFonts w:hint="eastAsia" w:cs="Microsoft JhengHei Light" w:asciiTheme="minorEastAsia" w:hAnsiTheme="minorEastAsia" w:eastAsiaTheme="minorEastAsia"/>
          <w:bCs/>
          <w:sz w:val="23"/>
          <w:szCs w:val="23"/>
        </w:rPr>
        <w:t>地点为</w:t>
      </w:r>
      <w:r>
        <w:rPr>
          <w:rFonts w:hint="eastAsia" w:cs="Microsoft JhengHei Light" w:asciiTheme="minorEastAsia" w:hAnsiTheme="minorEastAsia" w:eastAsiaTheme="minorEastAsia"/>
          <w:bCs/>
          <w:sz w:val="23"/>
          <w:szCs w:val="23"/>
          <w:u w:val="single"/>
        </w:rPr>
        <w:t>南通港口集团有限公司二楼会议室。</w:t>
      </w:r>
    </w:p>
    <w:p>
      <w:pPr>
        <w:tabs>
          <w:tab w:val="left" w:pos="3100"/>
          <w:tab w:val="left" w:pos="3460"/>
          <w:tab w:val="left" w:pos="3700"/>
          <w:tab w:val="left" w:pos="4060"/>
          <w:tab w:val="left" w:pos="4300"/>
          <w:tab w:val="left" w:pos="4900"/>
          <w:tab w:val="left" w:pos="8025"/>
          <w:tab w:val="left" w:pos="8260"/>
          <w:tab w:val="left" w:pos="8500"/>
        </w:tabs>
        <w:adjustRightInd w:val="0"/>
        <w:snapToGrid w:val="0"/>
        <w:spacing w:line="360" w:lineRule="auto"/>
        <w:ind w:firstLine="462" w:firstLineChars="200"/>
        <w:rPr>
          <w:rFonts w:cs="Microsoft JhengHei Light" w:asciiTheme="minorEastAsia" w:hAnsiTheme="minorEastAsia" w:eastAsiaTheme="minorEastAsia"/>
          <w:b/>
          <w:sz w:val="23"/>
          <w:szCs w:val="23"/>
        </w:rPr>
      </w:pPr>
      <w:r>
        <w:rPr>
          <w:rFonts w:hint="eastAsia" w:cs="Microsoft JhengHei Light" w:asciiTheme="minorEastAsia" w:hAnsiTheme="minorEastAsia" w:eastAsiaTheme="minorEastAsia"/>
          <w:b/>
          <w:sz w:val="23"/>
          <w:szCs w:val="23"/>
          <w:lang w:val="en-US"/>
        </w:rPr>
        <w:t>如有变动，另行通知。</w:t>
      </w:r>
      <w:r>
        <w:rPr>
          <w:rFonts w:hint="eastAsia" w:cs="Microsoft JhengHei Light" w:asciiTheme="minorEastAsia" w:hAnsiTheme="minorEastAsia" w:eastAsiaTheme="minorEastAsia"/>
          <w:b/>
          <w:sz w:val="23"/>
          <w:szCs w:val="23"/>
        </w:rPr>
        <w:t>逾期未递交的投标文件，招标人予以拒收。</w:t>
      </w:r>
    </w:p>
    <w:p>
      <w:pPr>
        <w:tabs>
          <w:tab w:val="left" w:pos="3100"/>
          <w:tab w:val="left" w:pos="3460"/>
          <w:tab w:val="left" w:pos="3700"/>
          <w:tab w:val="left" w:pos="4060"/>
          <w:tab w:val="left" w:pos="4300"/>
          <w:tab w:val="left" w:pos="4900"/>
          <w:tab w:val="left" w:pos="8025"/>
          <w:tab w:val="left" w:pos="8260"/>
          <w:tab w:val="left" w:pos="8500"/>
        </w:tabs>
        <w:adjustRightInd w:val="0"/>
        <w:snapToGrid w:val="0"/>
        <w:spacing w:line="360" w:lineRule="auto"/>
        <w:ind w:firstLine="442" w:firstLineChars="200"/>
        <w:rPr>
          <w:b/>
          <w:szCs w:val="21"/>
        </w:rPr>
      </w:pPr>
      <w:r>
        <w:rPr>
          <w:rFonts w:hint="eastAsia"/>
          <w:b/>
          <w:szCs w:val="21"/>
        </w:rPr>
        <w:t>招标人定于投标文件递交截止的同一时间、同一地点举行公开开标。投标人应派法人代表或其授权代理人携带有效身份证明出席，若未前来出席开标会，则视为默认开标结果。</w:t>
      </w:r>
    </w:p>
    <w:p>
      <w:pPr>
        <w:tabs>
          <w:tab w:val="left" w:pos="3100"/>
          <w:tab w:val="left" w:pos="3460"/>
          <w:tab w:val="left" w:pos="3700"/>
          <w:tab w:val="left" w:pos="4060"/>
          <w:tab w:val="left" w:pos="4300"/>
          <w:tab w:val="left" w:pos="4900"/>
          <w:tab w:val="left" w:pos="8025"/>
          <w:tab w:val="left" w:pos="8260"/>
          <w:tab w:val="left" w:pos="8500"/>
        </w:tabs>
        <w:adjustRightInd w:val="0"/>
        <w:snapToGrid w:val="0"/>
        <w:spacing w:line="360" w:lineRule="auto"/>
        <w:ind w:firstLine="442" w:firstLineChars="200"/>
        <w:rPr>
          <w:b/>
          <w:szCs w:val="21"/>
          <w:lang w:val="en-US"/>
        </w:rPr>
      </w:pPr>
      <w:r>
        <w:rPr>
          <w:rFonts w:hint="eastAsia"/>
          <w:b/>
          <w:szCs w:val="21"/>
          <w:lang w:val="en-US"/>
        </w:rPr>
        <w:t>注：1、以上时间均为北京时间。</w:t>
      </w:r>
    </w:p>
    <w:p>
      <w:pPr>
        <w:tabs>
          <w:tab w:val="left" w:pos="3100"/>
          <w:tab w:val="left" w:pos="3460"/>
          <w:tab w:val="left" w:pos="3700"/>
          <w:tab w:val="left" w:pos="4060"/>
          <w:tab w:val="left" w:pos="4300"/>
          <w:tab w:val="left" w:pos="4900"/>
          <w:tab w:val="left" w:pos="8025"/>
          <w:tab w:val="left" w:pos="8260"/>
          <w:tab w:val="left" w:pos="8500"/>
        </w:tabs>
        <w:adjustRightInd w:val="0"/>
        <w:snapToGrid w:val="0"/>
        <w:spacing w:line="360" w:lineRule="auto"/>
        <w:ind w:firstLine="883" w:firstLineChars="400"/>
        <w:rPr>
          <w:b/>
          <w:szCs w:val="21"/>
          <w:lang w:val="en-US"/>
        </w:rPr>
      </w:pPr>
      <w:r>
        <w:rPr>
          <w:rFonts w:hint="eastAsia"/>
          <w:b/>
          <w:szCs w:val="21"/>
          <w:lang w:val="en-US"/>
        </w:rPr>
        <w:t>2、</w:t>
      </w:r>
      <w:r>
        <w:rPr>
          <w:rFonts w:hint="eastAsia" w:cs="Times New Roman"/>
          <w:b/>
          <w:bCs/>
          <w:snapToGrid w:val="0"/>
          <w:szCs w:val="21"/>
        </w:rPr>
        <w:t>防疫期需佩戴好口罩，</w:t>
      </w:r>
      <w:r>
        <w:rPr>
          <w:rFonts w:hint="eastAsia" w:cs="Times New Roman"/>
          <w:b/>
          <w:bCs/>
          <w:snapToGrid w:val="0"/>
          <w:szCs w:val="21"/>
          <w:lang w:val="en-US"/>
        </w:rPr>
        <w:t>按照当地（投标人所在地、招标人所在地）最新发布的疫情防控要求执行，请各投标人及时关注并获取最新消息，亦可拨打当地区号+12345热线电话咨询。</w:t>
      </w:r>
    </w:p>
    <w:p>
      <w:pPr>
        <w:snapToGrid w:val="0"/>
        <w:spacing w:line="360" w:lineRule="auto"/>
        <w:rPr>
          <w:rFonts w:asciiTheme="minorEastAsia" w:hAnsiTheme="minorEastAsia" w:eastAsiaTheme="minorEastAsia"/>
          <w:bCs/>
          <w:sz w:val="23"/>
          <w:szCs w:val="23"/>
          <w:lang w:val="en-US"/>
        </w:rPr>
      </w:pPr>
      <w:r>
        <w:rPr>
          <w:rFonts w:hint="eastAsia" w:asciiTheme="minorEastAsia" w:hAnsiTheme="minorEastAsia" w:eastAsiaTheme="minorEastAsia"/>
          <w:bCs/>
          <w:sz w:val="23"/>
          <w:szCs w:val="23"/>
          <w:lang w:val="en-US"/>
        </w:rPr>
        <w:t>6</w:t>
      </w:r>
      <w:r>
        <w:rPr>
          <w:rFonts w:cs="Microsoft JhengHei Light" w:asciiTheme="minorEastAsia" w:hAnsiTheme="minorEastAsia" w:eastAsiaTheme="minorEastAsia"/>
          <w:bCs/>
          <w:sz w:val="23"/>
          <w:szCs w:val="23"/>
        </w:rPr>
        <w:t>．</w:t>
      </w:r>
      <w:r>
        <w:rPr>
          <w:rFonts w:hint="eastAsia" w:asciiTheme="minorEastAsia" w:hAnsiTheme="minorEastAsia" w:eastAsiaTheme="minorEastAsia"/>
          <w:bCs/>
          <w:sz w:val="23"/>
          <w:szCs w:val="23"/>
        </w:rPr>
        <w:t>特别提醒</w:t>
      </w:r>
    </w:p>
    <w:p>
      <w:pPr>
        <w:snapToGrid w:val="0"/>
        <w:spacing w:line="360" w:lineRule="auto"/>
        <w:ind w:firstLine="460" w:firstLineChars="200"/>
        <w:rPr>
          <w:rFonts w:asciiTheme="minorEastAsia" w:hAnsiTheme="minorEastAsia" w:eastAsiaTheme="minorEastAsia"/>
          <w:bCs/>
          <w:sz w:val="23"/>
          <w:szCs w:val="23"/>
        </w:rPr>
      </w:pPr>
      <w:r>
        <w:rPr>
          <w:rFonts w:hint="eastAsia" w:asciiTheme="minorEastAsia" w:hAnsiTheme="minorEastAsia" w:eastAsiaTheme="minorEastAsia"/>
          <w:bCs/>
          <w:sz w:val="23"/>
          <w:szCs w:val="23"/>
        </w:rPr>
        <w:t>已购买招标文件的投标人，不得擅自放弃投标，若因故确需放弃，则须在投标截止之日3天前书面告知招标人，如无故不参加投标而造成投标人不足3家而重新招标的，若重新招标的招标范围、规模和资格要求等未发生改变，招标人可以拒绝其参加重新招标的投标。</w:t>
      </w:r>
    </w:p>
    <w:p>
      <w:pPr>
        <w:adjustRightInd w:val="0"/>
        <w:snapToGrid w:val="0"/>
        <w:spacing w:line="360" w:lineRule="auto"/>
        <w:rPr>
          <w:rFonts w:cs="Microsoft JhengHei Light" w:asciiTheme="minorEastAsia" w:hAnsiTheme="minorEastAsia" w:eastAsiaTheme="minorEastAsia"/>
          <w:bCs/>
          <w:sz w:val="23"/>
          <w:szCs w:val="23"/>
        </w:rPr>
      </w:pPr>
      <w:r>
        <w:rPr>
          <w:rFonts w:hint="eastAsia" w:cs="Microsoft JhengHei Light" w:asciiTheme="minorEastAsia" w:hAnsiTheme="minorEastAsia" w:eastAsiaTheme="minorEastAsia"/>
          <w:bCs/>
          <w:sz w:val="23"/>
          <w:szCs w:val="23"/>
        </w:rPr>
        <w:t>7</w:t>
      </w:r>
      <w:r>
        <w:rPr>
          <w:rFonts w:cs="Microsoft JhengHei Light" w:asciiTheme="minorEastAsia" w:hAnsiTheme="minorEastAsia" w:eastAsiaTheme="minorEastAsia"/>
          <w:bCs/>
          <w:sz w:val="23"/>
          <w:szCs w:val="23"/>
        </w:rPr>
        <w:t>．发布公告的媒介</w:t>
      </w:r>
    </w:p>
    <w:p>
      <w:pPr>
        <w:pStyle w:val="6"/>
        <w:snapToGrid w:val="0"/>
        <w:spacing w:line="360" w:lineRule="auto"/>
        <w:ind w:left="0" w:firstLine="460" w:firstLineChars="200"/>
        <w:rPr>
          <w:rFonts w:cs="Microsoft JhengHei Light" w:asciiTheme="minorEastAsia" w:hAnsiTheme="minorEastAsia" w:eastAsiaTheme="minorEastAsia"/>
          <w:b w:val="0"/>
          <w:position w:val="-3"/>
          <w:sz w:val="23"/>
          <w:szCs w:val="23"/>
          <w:u w:val="none"/>
        </w:rPr>
      </w:pPr>
      <w:r>
        <w:rPr>
          <w:rFonts w:cs="Microsoft JhengHei Light" w:asciiTheme="minorEastAsia" w:hAnsiTheme="minorEastAsia" w:eastAsiaTheme="minorEastAsia"/>
          <w:b w:val="0"/>
          <w:position w:val="-3"/>
          <w:sz w:val="23"/>
          <w:szCs w:val="23"/>
          <w:u w:val="none"/>
        </w:rPr>
        <w:t>本次招标公告</w:t>
      </w:r>
      <w:r>
        <w:rPr>
          <w:rFonts w:hint="eastAsia" w:cs="Microsoft JhengHei Light" w:asciiTheme="minorEastAsia" w:hAnsiTheme="minorEastAsia" w:eastAsiaTheme="minorEastAsia"/>
          <w:b w:val="0"/>
          <w:position w:val="-3"/>
          <w:sz w:val="23"/>
          <w:szCs w:val="23"/>
          <w:u w:val="none"/>
          <w:lang w:val="en-US"/>
        </w:rPr>
        <w:t>在</w:t>
      </w:r>
      <w:r>
        <w:rPr>
          <w:rFonts w:hint="eastAsia" w:cs="Microsoft JhengHei Light" w:asciiTheme="minorEastAsia" w:hAnsiTheme="minorEastAsia" w:eastAsiaTheme="minorEastAsia"/>
          <w:b w:val="0"/>
          <w:position w:val="-3"/>
          <w:sz w:val="23"/>
          <w:szCs w:val="23"/>
          <w:u w:val="none"/>
        </w:rPr>
        <w:t>南通港口集团有限公司官网</w:t>
      </w:r>
      <w:r>
        <w:rPr>
          <w:rFonts w:cs="Microsoft JhengHei Light" w:asciiTheme="minorEastAsia" w:hAnsiTheme="minorEastAsia" w:eastAsiaTheme="minorEastAsia"/>
          <w:b w:val="0"/>
          <w:position w:val="-3"/>
          <w:sz w:val="23"/>
          <w:szCs w:val="23"/>
          <w:u w:val="none"/>
        </w:rPr>
        <w:t>发布。</w:t>
      </w:r>
      <w:bookmarkStart w:id="22" w:name="_GoBack"/>
      <w:bookmarkEnd w:id="22"/>
    </w:p>
    <w:p>
      <w:pPr>
        <w:pStyle w:val="7"/>
        <w:snapToGrid w:val="0"/>
        <w:spacing w:line="360" w:lineRule="auto"/>
        <w:ind w:left="0"/>
        <w:rPr>
          <w:rFonts w:asciiTheme="minorEastAsia" w:hAnsiTheme="minorEastAsia" w:eastAsiaTheme="minorEastAsia"/>
          <w:bCs/>
          <w:sz w:val="23"/>
          <w:szCs w:val="23"/>
        </w:rPr>
      </w:pPr>
      <w:r>
        <w:rPr>
          <w:rFonts w:hint="eastAsia" w:asciiTheme="minorEastAsia" w:hAnsiTheme="minorEastAsia" w:eastAsiaTheme="minorEastAsia"/>
          <w:bCs/>
          <w:sz w:val="23"/>
          <w:szCs w:val="23"/>
        </w:rPr>
        <w:t>8</w:t>
      </w:r>
      <w:r>
        <w:rPr>
          <w:rFonts w:asciiTheme="minorEastAsia" w:hAnsiTheme="minorEastAsia" w:eastAsiaTheme="minorEastAsia"/>
          <w:bCs/>
          <w:sz w:val="23"/>
          <w:szCs w:val="23"/>
        </w:rPr>
        <w:t>、联系方式</w:t>
      </w:r>
    </w:p>
    <w:p>
      <w:pPr>
        <w:snapToGrid w:val="0"/>
        <w:spacing w:line="360" w:lineRule="auto"/>
        <w:ind w:left="600"/>
        <w:rPr>
          <w:rFonts w:asciiTheme="minorEastAsia" w:hAnsiTheme="minorEastAsia" w:eastAsiaTheme="minorEastAsia"/>
          <w:bCs/>
          <w:sz w:val="23"/>
          <w:szCs w:val="23"/>
          <w:lang w:val="en-US"/>
        </w:rPr>
      </w:pPr>
      <w:r>
        <w:rPr>
          <w:rFonts w:hint="eastAsia" w:asciiTheme="minorEastAsia" w:hAnsiTheme="minorEastAsia" w:eastAsiaTheme="minorEastAsia"/>
          <w:bCs/>
          <w:sz w:val="23"/>
          <w:szCs w:val="23"/>
          <w:lang w:val="en-US"/>
        </w:rPr>
        <w:t>招标人名称：南通港码头管理有限公司</w:t>
      </w:r>
    </w:p>
    <w:p>
      <w:pPr>
        <w:snapToGrid w:val="0"/>
        <w:spacing w:line="360" w:lineRule="auto"/>
        <w:ind w:left="600"/>
        <w:rPr>
          <w:rFonts w:asciiTheme="minorEastAsia" w:hAnsiTheme="minorEastAsia" w:eastAsiaTheme="minorEastAsia"/>
          <w:bCs/>
          <w:sz w:val="23"/>
          <w:szCs w:val="23"/>
          <w:lang w:val="en-US"/>
        </w:rPr>
      </w:pPr>
      <w:r>
        <w:rPr>
          <w:rFonts w:hint="eastAsia" w:asciiTheme="minorEastAsia" w:hAnsiTheme="minorEastAsia" w:eastAsiaTheme="minorEastAsia"/>
          <w:bCs/>
          <w:sz w:val="23"/>
          <w:szCs w:val="23"/>
          <w:lang w:val="en-US"/>
        </w:rPr>
        <w:t>联系地址：江苏省南通市通州区开沙岛开沙村东沙大道</w:t>
      </w:r>
      <w:r>
        <w:rPr>
          <w:rFonts w:asciiTheme="minorEastAsia" w:hAnsiTheme="minorEastAsia" w:eastAsiaTheme="minorEastAsia"/>
          <w:bCs/>
          <w:sz w:val="23"/>
          <w:szCs w:val="23"/>
          <w:lang w:val="en-US"/>
        </w:rPr>
        <w:t>1号</w:t>
      </w:r>
    </w:p>
    <w:p>
      <w:pPr>
        <w:snapToGrid w:val="0"/>
        <w:spacing w:line="360" w:lineRule="auto"/>
        <w:ind w:left="600"/>
        <w:rPr>
          <w:rFonts w:asciiTheme="minorEastAsia" w:hAnsiTheme="minorEastAsia" w:eastAsiaTheme="minorEastAsia"/>
          <w:bCs/>
          <w:sz w:val="23"/>
          <w:szCs w:val="23"/>
          <w:lang w:val="en-US"/>
        </w:rPr>
      </w:pPr>
      <w:r>
        <w:rPr>
          <w:rFonts w:hint="eastAsia" w:asciiTheme="minorEastAsia" w:hAnsiTheme="minorEastAsia" w:eastAsiaTheme="minorEastAsia"/>
          <w:bCs/>
          <w:sz w:val="23"/>
          <w:szCs w:val="23"/>
          <w:lang w:val="en-US"/>
        </w:rPr>
        <w:t>联</w:t>
      </w:r>
      <w:r>
        <w:rPr>
          <w:rFonts w:asciiTheme="minorEastAsia" w:hAnsiTheme="minorEastAsia" w:eastAsiaTheme="minorEastAsia"/>
          <w:bCs/>
          <w:sz w:val="23"/>
          <w:szCs w:val="23"/>
          <w:lang w:val="en-US"/>
        </w:rPr>
        <w:t xml:space="preserve"> 系 人：白冰</w:t>
      </w:r>
      <w:r>
        <w:rPr>
          <w:rFonts w:hint="eastAsia" w:asciiTheme="minorEastAsia" w:hAnsiTheme="minorEastAsia" w:eastAsiaTheme="minorEastAsia"/>
          <w:bCs/>
          <w:sz w:val="23"/>
          <w:szCs w:val="23"/>
          <w:lang w:val="en-US"/>
        </w:rPr>
        <w:t>、印桂清</w:t>
      </w:r>
    </w:p>
    <w:p>
      <w:pPr>
        <w:snapToGrid w:val="0"/>
        <w:spacing w:line="360" w:lineRule="auto"/>
        <w:ind w:left="600"/>
        <w:rPr>
          <w:rFonts w:asciiTheme="minorEastAsia" w:hAnsiTheme="minorEastAsia" w:eastAsiaTheme="minorEastAsia"/>
          <w:bCs/>
          <w:sz w:val="23"/>
          <w:szCs w:val="23"/>
          <w:lang w:val="en-US"/>
        </w:rPr>
      </w:pPr>
      <w:r>
        <w:rPr>
          <w:rFonts w:hint="eastAsia" w:asciiTheme="minorEastAsia" w:hAnsiTheme="minorEastAsia" w:eastAsiaTheme="minorEastAsia"/>
          <w:bCs/>
          <w:sz w:val="23"/>
          <w:szCs w:val="23"/>
          <w:lang w:val="en-US"/>
        </w:rPr>
        <w:t>电话：</w:t>
      </w:r>
      <w:r>
        <w:rPr>
          <w:rFonts w:asciiTheme="minorEastAsia" w:hAnsiTheme="minorEastAsia" w:eastAsiaTheme="minorEastAsia"/>
          <w:bCs/>
          <w:sz w:val="23"/>
          <w:szCs w:val="23"/>
          <w:lang w:val="en-US"/>
        </w:rPr>
        <w:t>13861906160</w:t>
      </w:r>
      <w:r>
        <w:rPr>
          <w:rFonts w:hint="eastAsia" w:asciiTheme="minorEastAsia" w:hAnsiTheme="minorEastAsia" w:eastAsiaTheme="minorEastAsia"/>
          <w:bCs/>
          <w:sz w:val="23"/>
          <w:szCs w:val="23"/>
          <w:lang w:val="en-US"/>
        </w:rPr>
        <w:t>、1</w:t>
      </w:r>
      <w:r>
        <w:rPr>
          <w:rFonts w:asciiTheme="minorEastAsia" w:hAnsiTheme="minorEastAsia" w:eastAsiaTheme="minorEastAsia"/>
          <w:bCs/>
          <w:sz w:val="23"/>
          <w:szCs w:val="23"/>
          <w:lang w:val="en-US"/>
        </w:rPr>
        <w:t>3862963916</w:t>
      </w:r>
    </w:p>
    <w:p>
      <w:pPr>
        <w:snapToGrid w:val="0"/>
        <w:spacing w:line="360" w:lineRule="auto"/>
        <w:ind w:left="600"/>
        <w:rPr>
          <w:rFonts w:asciiTheme="minorEastAsia" w:hAnsiTheme="minorEastAsia" w:eastAsiaTheme="minorEastAsia"/>
          <w:bCs/>
          <w:sz w:val="23"/>
          <w:szCs w:val="23"/>
          <w:lang w:val="en-US"/>
        </w:rPr>
      </w:pPr>
      <w:r>
        <w:rPr>
          <w:rFonts w:hint="eastAsia" w:asciiTheme="minorEastAsia" w:hAnsiTheme="minorEastAsia" w:eastAsiaTheme="minorEastAsia"/>
          <w:bCs/>
          <w:sz w:val="23"/>
          <w:szCs w:val="23"/>
          <w:lang w:val="en-US"/>
        </w:rPr>
        <w:t>邮箱：</w:t>
      </w:r>
      <w:r>
        <w:rPr>
          <w:rFonts w:asciiTheme="minorEastAsia" w:hAnsiTheme="minorEastAsia" w:eastAsiaTheme="minorEastAsia"/>
          <w:bCs/>
          <w:sz w:val="23"/>
          <w:szCs w:val="23"/>
          <w:u w:val="single"/>
          <w:lang w:val="en-US"/>
        </w:rPr>
        <w:t>14269123405@</w:t>
      </w:r>
      <w:r>
        <w:rPr>
          <w:rFonts w:hint="eastAsia" w:asciiTheme="minorEastAsia" w:hAnsiTheme="minorEastAsia" w:eastAsiaTheme="minorEastAsia"/>
          <w:bCs/>
          <w:sz w:val="23"/>
          <w:szCs w:val="23"/>
          <w:u w:val="single"/>
          <w:lang w:val="en-US"/>
        </w:rPr>
        <w:t>qq</w:t>
      </w:r>
      <w:r>
        <w:rPr>
          <w:rFonts w:asciiTheme="minorEastAsia" w:hAnsiTheme="minorEastAsia" w:eastAsiaTheme="minorEastAsia"/>
          <w:bCs/>
          <w:sz w:val="23"/>
          <w:szCs w:val="23"/>
          <w:u w:val="single"/>
          <w:lang w:val="en-US"/>
        </w:rPr>
        <w:t>.com</w:t>
      </w:r>
    </w:p>
    <w:p>
      <w:pPr>
        <w:snapToGrid w:val="0"/>
        <w:spacing w:line="360" w:lineRule="auto"/>
        <w:ind w:left="600"/>
        <w:rPr>
          <w:rFonts w:asciiTheme="minorEastAsia" w:hAnsiTheme="minorEastAsia" w:eastAsiaTheme="minorEastAsia"/>
          <w:bCs/>
          <w:sz w:val="23"/>
          <w:szCs w:val="23"/>
          <w:lang w:val="en-US"/>
        </w:rPr>
      </w:pPr>
      <w:r>
        <w:rPr>
          <w:rFonts w:hint="eastAsia" w:asciiTheme="minorEastAsia" w:hAnsiTheme="minorEastAsia" w:eastAsiaTheme="minorEastAsia"/>
          <w:bCs/>
          <w:sz w:val="23"/>
          <w:szCs w:val="23"/>
          <w:lang w:val="en-US"/>
        </w:rPr>
        <w:t>邮政编码：</w:t>
      </w:r>
      <w:r>
        <w:rPr>
          <w:rFonts w:asciiTheme="minorEastAsia" w:hAnsiTheme="minorEastAsia" w:eastAsiaTheme="minorEastAsia"/>
          <w:bCs/>
          <w:sz w:val="23"/>
          <w:szCs w:val="23"/>
          <w:lang w:val="en-US"/>
        </w:rPr>
        <w:t>226006</w:t>
      </w:r>
    </w:p>
    <w:p>
      <w:pPr>
        <w:snapToGrid w:val="0"/>
        <w:spacing w:line="360" w:lineRule="auto"/>
        <w:ind w:left="600"/>
        <w:rPr>
          <w:rFonts w:asciiTheme="minorEastAsia" w:hAnsiTheme="minorEastAsia" w:eastAsiaTheme="minorEastAsia"/>
          <w:bCs/>
          <w:sz w:val="23"/>
          <w:szCs w:val="23"/>
          <w:lang w:val="en-US"/>
        </w:rPr>
      </w:pPr>
      <w:r>
        <w:rPr>
          <w:rFonts w:hint="eastAsia" w:asciiTheme="minorEastAsia" w:hAnsiTheme="minorEastAsia" w:eastAsiaTheme="minorEastAsia"/>
          <w:bCs/>
          <w:sz w:val="23"/>
          <w:szCs w:val="23"/>
          <w:lang w:val="en-US"/>
        </w:rPr>
        <w:t>招标代理：中诚工程建设管理（苏州）股份有限公司</w:t>
      </w:r>
    </w:p>
    <w:p>
      <w:pPr>
        <w:snapToGrid w:val="0"/>
        <w:spacing w:line="360" w:lineRule="auto"/>
        <w:ind w:left="600"/>
        <w:rPr>
          <w:rFonts w:asciiTheme="minorEastAsia" w:hAnsiTheme="minorEastAsia" w:eastAsiaTheme="minorEastAsia"/>
          <w:bCs/>
          <w:sz w:val="23"/>
          <w:szCs w:val="23"/>
          <w:lang w:val="en-US"/>
        </w:rPr>
      </w:pPr>
      <w:r>
        <w:rPr>
          <w:rFonts w:hint="eastAsia" w:asciiTheme="minorEastAsia" w:hAnsiTheme="minorEastAsia" w:eastAsiaTheme="minorEastAsia"/>
          <w:bCs/>
          <w:sz w:val="23"/>
          <w:szCs w:val="23"/>
          <w:lang w:val="en-US"/>
        </w:rPr>
        <w:t>地址：南通市崇川区钟秀中路128号淘宝城1幢1305室</w:t>
      </w:r>
    </w:p>
    <w:p>
      <w:pPr>
        <w:snapToGrid w:val="0"/>
        <w:spacing w:line="360" w:lineRule="auto"/>
        <w:ind w:left="600"/>
        <w:rPr>
          <w:rFonts w:asciiTheme="minorEastAsia" w:hAnsiTheme="minorEastAsia" w:eastAsiaTheme="minorEastAsia"/>
          <w:bCs/>
          <w:sz w:val="23"/>
          <w:szCs w:val="23"/>
          <w:lang w:val="en-US"/>
        </w:rPr>
      </w:pPr>
      <w:r>
        <w:rPr>
          <w:rFonts w:hint="eastAsia" w:asciiTheme="minorEastAsia" w:hAnsiTheme="minorEastAsia" w:eastAsiaTheme="minorEastAsia"/>
          <w:bCs/>
          <w:sz w:val="23"/>
          <w:szCs w:val="23"/>
          <w:lang w:val="en-US"/>
        </w:rPr>
        <w:t>邮政编码：</w:t>
      </w:r>
      <w:r>
        <w:rPr>
          <w:rFonts w:asciiTheme="minorEastAsia" w:hAnsiTheme="minorEastAsia" w:eastAsiaTheme="minorEastAsia"/>
          <w:bCs/>
          <w:sz w:val="23"/>
          <w:szCs w:val="23"/>
          <w:lang w:val="en-US"/>
        </w:rPr>
        <w:t>22600</w:t>
      </w:r>
      <w:r>
        <w:rPr>
          <w:rFonts w:hint="eastAsia" w:asciiTheme="minorEastAsia" w:hAnsiTheme="minorEastAsia" w:eastAsiaTheme="minorEastAsia"/>
          <w:bCs/>
          <w:sz w:val="23"/>
          <w:szCs w:val="23"/>
          <w:lang w:val="en-US"/>
        </w:rPr>
        <w:t>0</w:t>
      </w:r>
    </w:p>
    <w:p>
      <w:pPr>
        <w:snapToGrid w:val="0"/>
        <w:spacing w:line="360" w:lineRule="auto"/>
        <w:ind w:left="600"/>
        <w:rPr>
          <w:rFonts w:asciiTheme="minorEastAsia" w:hAnsiTheme="minorEastAsia" w:eastAsiaTheme="minorEastAsia"/>
          <w:bCs/>
          <w:sz w:val="23"/>
          <w:szCs w:val="23"/>
          <w:lang w:val="en-US"/>
        </w:rPr>
      </w:pPr>
      <w:r>
        <w:rPr>
          <w:rFonts w:hint="eastAsia" w:asciiTheme="minorEastAsia" w:hAnsiTheme="minorEastAsia" w:eastAsiaTheme="minorEastAsia"/>
          <w:bCs/>
          <w:sz w:val="23"/>
          <w:szCs w:val="23"/>
          <w:lang w:val="en-US"/>
        </w:rPr>
        <w:t>电话：15162874928（冯建敏），18550663166（吕俊峰）</w:t>
      </w:r>
    </w:p>
    <w:p>
      <w:pPr>
        <w:snapToGrid w:val="0"/>
        <w:spacing w:line="360" w:lineRule="auto"/>
        <w:ind w:left="600"/>
        <w:rPr>
          <w:rFonts w:asciiTheme="minorEastAsia" w:hAnsiTheme="minorEastAsia" w:eastAsiaTheme="minorEastAsia"/>
          <w:bCs/>
          <w:sz w:val="23"/>
          <w:szCs w:val="23"/>
          <w:lang w:val="en-US"/>
        </w:rPr>
      </w:pPr>
      <w:r>
        <w:rPr>
          <w:rFonts w:hint="eastAsia" w:asciiTheme="minorEastAsia" w:hAnsiTheme="minorEastAsia" w:eastAsiaTheme="minorEastAsia"/>
          <w:bCs/>
          <w:sz w:val="23"/>
          <w:szCs w:val="23"/>
          <w:lang w:val="en-US"/>
        </w:rPr>
        <w:t>联系人：冯建敏、吕俊峰</w:t>
      </w:r>
    </w:p>
    <w:p>
      <w:pPr>
        <w:snapToGrid w:val="0"/>
        <w:spacing w:line="360" w:lineRule="auto"/>
        <w:ind w:left="600"/>
        <w:rPr>
          <w:rFonts w:asciiTheme="minorEastAsia" w:hAnsiTheme="minorEastAsia" w:eastAsiaTheme="minorEastAsia"/>
          <w:bCs/>
          <w:sz w:val="23"/>
          <w:szCs w:val="23"/>
          <w:lang w:val="en-US"/>
        </w:rPr>
      </w:pPr>
      <w:r>
        <w:rPr>
          <w:rFonts w:hint="eastAsia" w:asciiTheme="minorEastAsia" w:hAnsiTheme="minorEastAsia" w:eastAsiaTheme="minorEastAsia"/>
          <w:bCs/>
          <w:sz w:val="23"/>
          <w:szCs w:val="23"/>
          <w:lang w:val="en-US"/>
        </w:rPr>
        <w:t>mail：</w:t>
      </w:r>
      <w:r>
        <w:fldChar w:fldCharType="begin"/>
      </w:r>
      <w:r>
        <w:instrText xml:space="preserve"> HYPERLINK "mailto:szzcjyb@126.com" </w:instrText>
      </w:r>
      <w:r>
        <w:fldChar w:fldCharType="separate"/>
      </w:r>
      <w:r>
        <w:rPr>
          <w:rFonts w:hint="eastAsia" w:asciiTheme="minorEastAsia" w:hAnsiTheme="minorEastAsia" w:eastAsiaTheme="minorEastAsia"/>
          <w:bCs/>
          <w:sz w:val="23"/>
          <w:szCs w:val="23"/>
          <w:u w:val="single"/>
          <w:lang w:val="en-US"/>
        </w:rPr>
        <w:t>szzcjyb@126.com</w:t>
      </w:r>
      <w:r>
        <w:rPr>
          <w:rFonts w:hint="eastAsia" w:asciiTheme="minorEastAsia" w:hAnsiTheme="minorEastAsia" w:eastAsiaTheme="minorEastAsia"/>
          <w:bCs/>
          <w:sz w:val="23"/>
          <w:szCs w:val="23"/>
          <w:u w:val="single"/>
          <w:lang w:val="en-US"/>
        </w:rPr>
        <w:fldChar w:fldCharType="end"/>
      </w:r>
    </w:p>
    <w:p>
      <w:pPr>
        <w:pStyle w:val="13"/>
        <w:spacing w:before="9"/>
        <w:rPr>
          <w:rFonts w:asciiTheme="minorEastAsia" w:hAnsiTheme="minorEastAsia" w:eastAsiaTheme="minorEastAsia"/>
          <w:bCs/>
          <w:sz w:val="23"/>
          <w:szCs w:val="23"/>
          <w:lang w:val="en-US"/>
        </w:rPr>
      </w:pPr>
    </w:p>
    <w:p>
      <w:pPr>
        <w:spacing w:line="483" w:lineRule="exact"/>
        <w:ind w:right="496"/>
        <w:jc w:val="center"/>
        <w:rPr>
          <w:rFonts w:asciiTheme="minorEastAsia" w:hAnsiTheme="minorEastAsia" w:eastAsiaTheme="minorEastAsia"/>
          <w:bCs/>
          <w:sz w:val="23"/>
          <w:szCs w:val="23"/>
          <w:lang w:val="en-US"/>
        </w:rPr>
      </w:pPr>
      <w:r>
        <w:rPr>
          <w:rFonts w:hint="eastAsia" w:asciiTheme="minorEastAsia" w:hAnsiTheme="minorEastAsia" w:eastAsiaTheme="minorEastAsia"/>
          <w:bCs/>
          <w:sz w:val="23"/>
          <w:szCs w:val="23"/>
          <w:lang w:val="en-US"/>
        </w:rPr>
        <w:t>20</w:t>
      </w:r>
      <w:r>
        <w:rPr>
          <w:rFonts w:asciiTheme="minorEastAsia" w:hAnsiTheme="minorEastAsia" w:eastAsiaTheme="minorEastAsia"/>
          <w:bCs/>
          <w:sz w:val="23"/>
          <w:szCs w:val="23"/>
          <w:lang w:val="en-US"/>
        </w:rPr>
        <w:t>21</w:t>
      </w:r>
      <w:r>
        <w:rPr>
          <w:rFonts w:hint="eastAsia" w:asciiTheme="minorEastAsia" w:hAnsiTheme="minorEastAsia" w:eastAsiaTheme="minorEastAsia"/>
          <w:bCs/>
          <w:sz w:val="23"/>
          <w:szCs w:val="23"/>
        </w:rPr>
        <w:t>年</w:t>
      </w:r>
      <w:r>
        <w:rPr>
          <w:rFonts w:hint="eastAsia" w:asciiTheme="minorEastAsia" w:hAnsiTheme="minorEastAsia" w:eastAsiaTheme="minorEastAsia"/>
          <w:bCs/>
          <w:sz w:val="23"/>
          <w:szCs w:val="23"/>
          <w:lang w:val="en-US"/>
        </w:rPr>
        <w:t>9</w:t>
      </w:r>
      <w:r>
        <w:rPr>
          <w:rFonts w:hint="eastAsia" w:asciiTheme="minorEastAsia" w:hAnsiTheme="minorEastAsia" w:eastAsiaTheme="minorEastAsia"/>
          <w:bCs/>
          <w:sz w:val="23"/>
          <w:szCs w:val="23"/>
        </w:rPr>
        <w:t>月</w:t>
      </w:r>
      <w:r>
        <w:rPr>
          <w:rFonts w:hint="eastAsia" w:asciiTheme="minorEastAsia" w:hAnsiTheme="minorEastAsia" w:eastAsiaTheme="minorEastAsia"/>
          <w:bCs/>
          <w:sz w:val="23"/>
          <w:szCs w:val="23"/>
          <w:lang w:val="en-US" w:eastAsia="zh-CN"/>
        </w:rPr>
        <w:t>18</w:t>
      </w:r>
      <w:r>
        <w:rPr>
          <w:rFonts w:hint="eastAsia" w:asciiTheme="minorEastAsia" w:hAnsiTheme="minorEastAsia" w:eastAsiaTheme="minorEastAsia"/>
          <w:bCs/>
          <w:sz w:val="23"/>
          <w:szCs w:val="23"/>
        </w:rPr>
        <w:t>日</w:t>
      </w:r>
    </w:p>
    <w:p>
      <w:pPr>
        <w:ind w:right="600"/>
        <w:jc w:val="right"/>
        <w:rPr>
          <w:rFonts w:asciiTheme="minorEastAsia" w:hAnsiTheme="minorEastAsia" w:eastAsiaTheme="minorEastAsia"/>
          <w:sz w:val="18"/>
          <w:lang w:val="en-US"/>
        </w:rPr>
      </w:pPr>
    </w:p>
    <w:p>
      <w:pPr>
        <w:jc w:val="right"/>
        <w:rPr>
          <w:rFonts w:asciiTheme="minorEastAsia" w:hAnsiTheme="minorEastAsia" w:eastAsiaTheme="minorEastAsia"/>
          <w:sz w:val="18"/>
          <w:lang w:val="en-US"/>
        </w:rPr>
        <w:sectPr>
          <w:pgSz w:w="11910" w:h="16840"/>
          <w:pgMar w:top="1361" w:right="1474" w:bottom="1361" w:left="1474" w:header="720" w:footer="720" w:gutter="0"/>
          <w:cols w:space="720" w:num="1"/>
        </w:sectPr>
      </w:pPr>
    </w:p>
    <w:p>
      <w:pPr>
        <w:pStyle w:val="13"/>
        <w:spacing w:before="10"/>
        <w:rPr>
          <w:rFonts w:ascii="Times New Roman"/>
          <w:sz w:val="11"/>
          <w:lang w:val="en-US"/>
        </w:rPr>
      </w:pPr>
    </w:p>
    <w:p>
      <w:pPr>
        <w:pStyle w:val="3"/>
        <w:spacing w:line="360" w:lineRule="auto"/>
        <w:rPr>
          <w:b/>
          <w:bCs/>
          <w:sz w:val="28"/>
          <w:szCs w:val="21"/>
        </w:rPr>
      </w:pPr>
      <w:bookmarkStart w:id="4" w:name="投标人须知"/>
      <w:bookmarkEnd w:id="4"/>
      <w:r>
        <w:rPr>
          <w:rFonts w:hint="eastAsia" w:cs="Times New Roman"/>
          <w:kern w:val="2"/>
          <w:sz w:val="28"/>
          <w:szCs w:val="21"/>
          <w:lang w:val="en-US" w:bidi="ar-SA"/>
        </w:rPr>
        <w:t>第二章  投标人须知</w:t>
      </w:r>
    </w:p>
    <w:p>
      <w:pPr>
        <w:pStyle w:val="3"/>
        <w:spacing w:before="0" w:line="360" w:lineRule="auto"/>
        <w:jc w:val="left"/>
        <w:rPr>
          <w:b/>
          <w:bCs/>
          <w:sz w:val="23"/>
          <w:szCs w:val="23"/>
        </w:rPr>
      </w:pPr>
      <w:r>
        <w:rPr>
          <w:rFonts w:hint="eastAsia" w:cs="Times New Roman"/>
          <w:kern w:val="2"/>
          <w:sz w:val="23"/>
          <w:szCs w:val="23"/>
          <w:lang w:val="en-US" w:bidi="ar-SA"/>
        </w:rPr>
        <w:t>投标人须知前附表</w:t>
      </w:r>
    </w:p>
    <w:tbl>
      <w:tblPr>
        <w:tblStyle w:val="21"/>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13"/>
        <w:gridCol w:w="872"/>
        <w:gridCol w:w="72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jc w:val="center"/>
        </w:trPr>
        <w:tc>
          <w:tcPr>
            <w:tcW w:w="552" w:type="pct"/>
            <w:vAlign w:val="center"/>
          </w:tcPr>
          <w:p>
            <w:pPr>
              <w:widowControl/>
              <w:autoSpaceDE/>
              <w:autoSpaceDN/>
              <w:snapToGrid w:val="0"/>
              <w:spacing w:line="320" w:lineRule="exact"/>
              <w:jc w:val="center"/>
              <w:rPr>
                <w:sz w:val="23"/>
                <w:szCs w:val="23"/>
              </w:rPr>
            </w:pPr>
            <w:r>
              <w:rPr>
                <w:rFonts w:hint="eastAsia"/>
                <w:sz w:val="23"/>
                <w:szCs w:val="23"/>
              </w:rPr>
              <w:t>条款号</w:t>
            </w:r>
          </w:p>
        </w:tc>
        <w:tc>
          <w:tcPr>
            <w:tcW w:w="475" w:type="pct"/>
            <w:vAlign w:val="center"/>
          </w:tcPr>
          <w:p>
            <w:pPr>
              <w:widowControl/>
              <w:autoSpaceDE/>
              <w:autoSpaceDN/>
              <w:snapToGrid w:val="0"/>
              <w:spacing w:line="320" w:lineRule="exact"/>
              <w:jc w:val="center"/>
              <w:rPr>
                <w:sz w:val="23"/>
                <w:szCs w:val="23"/>
              </w:rPr>
            </w:pPr>
            <w:r>
              <w:rPr>
                <w:rFonts w:hint="eastAsia"/>
                <w:sz w:val="23"/>
                <w:szCs w:val="23"/>
              </w:rPr>
              <w:t>条款名称</w:t>
            </w:r>
          </w:p>
        </w:tc>
        <w:tc>
          <w:tcPr>
            <w:tcW w:w="3973" w:type="pct"/>
          </w:tcPr>
          <w:p>
            <w:pPr>
              <w:widowControl/>
              <w:autoSpaceDE/>
              <w:autoSpaceDN/>
              <w:snapToGrid w:val="0"/>
              <w:spacing w:line="320" w:lineRule="exact"/>
              <w:jc w:val="center"/>
              <w:rPr>
                <w:sz w:val="23"/>
                <w:szCs w:val="23"/>
              </w:rPr>
            </w:pPr>
            <w:r>
              <w:rPr>
                <w:rFonts w:hint="eastAsia"/>
                <w:sz w:val="23"/>
                <w:szCs w:val="23"/>
              </w:rPr>
              <w:t>编 列 内 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52" w:type="pct"/>
            <w:vAlign w:val="center"/>
          </w:tcPr>
          <w:p>
            <w:pPr>
              <w:widowControl/>
              <w:autoSpaceDE/>
              <w:autoSpaceDN/>
              <w:snapToGrid w:val="0"/>
              <w:spacing w:line="320" w:lineRule="exact"/>
              <w:jc w:val="center"/>
              <w:rPr>
                <w:sz w:val="23"/>
                <w:szCs w:val="23"/>
              </w:rPr>
            </w:pPr>
            <w:r>
              <w:rPr>
                <w:rFonts w:hint="eastAsia"/>
                <w:sz w:val="23"/>
                <w:szCs w:val="23"/>
                <w:lang w:val="en-US"/>
              </w:rPr>
              <w:t>1</w:t>
            </w:r>
          </w:p>
        </w:tc>
        <w:tc>
          <w:tcPr>
            <w:tcW w:w="475" w:type="pct"/>
            <w:vAlign w:val="center"/>
          </w:tcPr>
          <w:p>
            <w:pPr>
              <w:widowControl/>
              <w:autoSpaceDE/>
              <w:autoSpaceDN/>
              <w:snapToGrid w:val="0"/>
              <w:spacing w:line="320" w:lineRule="exact"/>
              <w:jc w:val="center"/>
              <w:rPr>
                <w:sz w:val="23"/>
                <w:szCs w:val="23"/>
              </w:rPr>
            </w:pPr>
            <w:r>
              <w:rPr>
                <w:rFonts w:hint="eastAsia"/>
                <w:sz w:val="23"/>
                <w:szCs w:val="23"/>
                <w:lang w:val="en-US"/>
              </w:rPr>
              <w:t>1.1</w:t>
            </w:r>
          </w:p>
        </w:tc>
        <w:tc>
          <w:tcPr>
            <w:tcW w:w="3973" w:type="pct"/>
          </w:tcPr>
          <w:p>
            <w:pPr>
              <w:widowControl/>
              <w:autoSpaceDE/>
              <w:autoSpaceDN/>
              <w:snapToGrid w:val="0"/>
              <w:spacing w:line="320" w:lineRule="exact"/>
              <w:rPr>
                <w:sz w:val="23"/>
                <w:szCs w:val="23"/>
                <w:lang w:val="en-US"/>
              </w:rPr>
            </w:pPr>
            <w:r>
              <w:rPr>
                <w:rFonts w:hint="eastAsia"/>
                <w:sz w:val="23"/>
                <w:szCs w:val="23"/>
                <w:lang w:val="en-US"/>
              </w:rPr>
              <w:t>招标人名称：南通港码头管理有限公司</w:t>
            </w:r>
          </w:p>
          <w:p>
            <w:pPr>
              <w:widowControl/>
              <w:autoSpaceDE/>
              <w:autoSpaceDN/>
              <w:snapToGrid w:val="0"/>
              <w:spacing w:line="320" w:lineRule="exact"/>
              <w:rPr>
                <w:sz w:val="23"/>
                <w:szCs w:val="23"/>
                <w:lang w:val="en-US"/>
              </w:rPr>
            </w:pPr>
            <w:r>
              <w:rPr>
                <w:rFonts w:hint="eastAsia"/>
                <w:sz w:val="23"/>
                <w:szCs w:val="23"/>
                <w:lang w:val="en-US"/>
              </w:rPr>
              <w:t>联系地址：江苏省南通市通州区开沙岛开沙村东沙大道</w:t>
            </w:r>
            <w:r>
              <w:rPr>
                <w:sz w:val="23"/>
                <w:szCs w:val="23"/>
                <w:lang w:val="en-US"/>
              </w:rPr>
              <w:t>1号</w:t>
            </w:r>
          </w:p>
          <w:p>
            <w:pPr>
              <w:widowControl/>
              <w:autoSpaceDE/>
              <w:autoSpaceDN/>
              <w:snapToGrid w:val="0"/>
              <w:spacing w:line="320" w:lineRule="exact"/>
              <w:rPr>
                <w:sz w:val="23"/>
                <w:szCs w:val="23"/>
                <w:lang w:val="en-US"/>
              </w:rPr>
            </w:pPr>
            <w:r>
              <w:rPr>
                <w:rFonts w:hint="eastAsia"/>
                <w:sz w:val="23"/>
                <w:szCs w:val="23"/>
                <w:lang w:val="en-US"/>
              </w:rPr>
              <w:t>联</w:t>
            </w:r>
            <w:r>
              <w:rPr>
                <w:sz w:val="23"/>
                <w:szCs w:val="23"/>
                <w:lang w:val="en-US"/>
              </w:rPr>
              <w:t xml:space="preserve"> 系 人：白冰、印桂清</w:t>
            </w:r>
          </w:p>
          <w:p>
            <w:pPr>
              <w:widowControl/>
              <w:autoSpaceDE/>
              <w:autoSpaceDN/>
              <w:snapToGrid w:val="0"/>
              <w:spacing w:line="320" w:lineRule="exact"/>
              <w:rPr>
                <w:sz w:val="23"/>
                <w:szCs w:val="23"/>
                <w:lang w:val="en-US"/>
              </w:rPr>
            </w:pPr>
            <w:r>
              <w:rPr>
                <w:rFonts w:hint="eastAsia"/>
                <w:sz w:val="23"/>
                <w:szCs w:val="23"/>
                <w:lang w:val="en-US"/>
              </w:rPr>
              <w:t>电话：</w:t>
            </w:r>
            <w:r>
              <w:rPr>
                <w:sz w:val="23"/>
                <w:szCs w:val="23"/>
                <w:lang w:val="en-US"/>
              </w:rPr>
              <w:t>13861906160、13862963916</w:t>
            </w:r>
          </w:p>
          <w:p>
            <w:pPr>
              <w:widowControl/>
              <w:autoSpaceDE/>
              <w:autoSpaceDN/>
              <w:snapToGrid w:val="0"/>
              <w:spacing w:line="320" w:lineRule="exact"/>
              <w:rPr>
                <w:sz w:val="23"/>
                <w:szCs w:val="23"/>
                <w:lang w:val="en-US"/>
              </w:rPr>
            </w:pPr>
            <w:r>
              <w:rPr>
                <w:rFonts w:hint="eastAsia"/>
                <w:sz w:val="23"/>
                <w:szCs w:val="23"/>
                <w:lang w:val="en-US"/>
              </w:rPr>
              <w:t>邮箱：</w:t>
            </w:r>
            <w:r>
              <w:rPr>
                <w:rFonts w:asciiTheme="minorEastAsia" w:hAnsiTheme="minorEastAsia" w:eastAsiaTheme="minorEastAsia"/>
                <w:bCs/>
                <w:sz w:val="23"/>
                <w:szCs w:val="23"/>
                <w:u w:val="single"/>
                <w:lang w:val="en-US"/>
              </w:rPr>
              <w:t>14269123405@</w:t>
            </w:r>
            <w:r>
              <w:rPr>
                <w:rFonts w:hint="eastAsia" w:asciiTheme="minorEastAsia" w:hAnsiTheme="minorEastAsia" w:eastAsiaTheme="minorEastAsia"/>
                <w:bCs/>
                <w:sz w:val="23"/>
                <w:szCs w:val="23"/>
                <w:u w:val="single"/>
                <w:lang w:val="en-US"/>
              </w:rPr>
              <w:t>qq</w:t>
            </w:r>
            <w:r>
              <w:rPr>
                <w:rFonts w:asciiTheme="minorEastAsia" w:hAnsiTheme="minorEastAsia" w:eastAsiaTheme="minorEastAsia"/>
                <w:bCs/>
                <w:sz w:val="23"/>
                <w:szCs w:val="23"/>
                <w:u w:val="single"/>
                <w:lang w:val="en-US"/>
              </w:rPr>
              <w:t>.com</w:t>
            </w:r>
          </w:p>
          <w:p>
            <w:pPr>
              <w:widowControl/>
              <w:autoSpaceDE/>
              <w:autoSpaceDN/>
              <w:snapToGrid w:val="0"/>
              <w:spacing w:line="320" w:lineRule="exact"/>
              <w:rPr>
                <w:sz w:val="23"/>
                <w:szCs w:val="23"/>
                <w:lang w:val="en-US"/>
              </w:rPr>
            </w:pPr>
            <w:r>
              <w:rPr>
                <w:rFonts w:hint="eastAsia"/>
                <w:sz w:val="23"/>
                <w:szCs w:val="23"/>
                <w:lang w:val="en-US"/>
              </w:rPr>
              <w:t>招标代理：中诚工程建设管理（苏州）股份有限公司</w:t>
            </w:r>
          </w:p>
          <w:p>
            <w:pPr>
              <w:widowControl/>
              <w:autoSpaceDE/>
              <w:autoSpaceDN/>
              <w:snapToGrid w:val="0"/>
              <w:spacing w:line="320" w:lineRule="exact"/>
              <w:rPr>
                <w:sz w:val="23"/>
                <w:szCs w:val="23"/>
                <w:lang w:val="en-US"/>
              </w:rPr>
            </w:pPr>
            <w:r>
              <w:rPr>
                <w:rFonts w:hint="eastAsia"/>
                <w:sz w:val="23"/>
                <w:szCs w:val="23"/>
                <w:lang w:val="en-US"/>
              </w:rPr>
              <w:t>地址：</w:t>
            </w:r>
            <w:r>
              <w:rPr>
                <w:rFonts w:hint="eastAsia" w:asciiTheme="minorEastAsia" w:hAnsiTheme="minorEastAsia" w:eastAsiaTheme="minorEastAsia"/>
                <w:bCs/>
                <w:sz w:val="23"/>
                <w:szCs w:val="23"/>
                <w:lang w:val="en-US"/>
              </w:rPr>
              <w:t>南通市崇川区钟秀中路128号淘宝城1幢1305室</w:t>
            </w:r>
          </w:p>
          <w:p>
            <w:pPr>
              <w:widowControl/>
              <w:autoSpaceDE/>
              <w:autoSpaceDN/>
              <w:snapToGrid w:val="0"/>
              <w:spacing w:line="320" w:lineRule="exact"/>
              <w:rPr>
                <w:sz w:val="23"/>
                <w:szCs w:val="23"/>
                <w:lang w:val="en-US"/>
              </w:rPr>
            </w:pPr>
            <w:r>
              <w:rPr>
                <w:rFonts w:hint="eastAsia"/>
                <w:sz w:val="23"/>
                <w:szCs w:val="23"/>
                <w:lang w:val="en-US"/>
              </w:rPr>
              <w:t>邮政编码：</w:t>
            </w:r>
            <w:r>
              <w:rPr>
                <w:rFonts w:asciiTheme="minorEastAsia" w:hAnsiTheme="minorEastAsia" w:eastAsiaTheme="minorEastAsia"/>
                <w:bCs/>
                <w:sz w:val="23"/>
                <w:szCs w:val="23"/>
                <w:lang w:val="en-US"/>
              </w:rPr>
              <w:t>22600</w:t>
            </w:r>
            <w:r>
              <w:rPr>
                <w:rFonts w:hint="eastAsia" w:asciiTheme="minorEastAsia" w:hAnsiTheme="minorEastAsia" w:eastAsiaTheme="minorEastAsia"/>
                <w:bCs/>
                <w:sz w:val="23"/>
                <w:szCs w:val="23"/>
                <w:lang w:val="en-US"/>
              </w:rPr>
              <w:t>0</w:t>
            </w:r>
          </w:p>
          <w:p>
            <w:pPr>
              <w:widowControl/>
              <w:autoSpaceDE/>
              <w:autoSpaceDN/>
              <w:snapToGrid w:val="0"/>
              <w:spacing w:line="320" w:lineRule="exact"/>
              <w:rPr>
                <w:sz w:val="23"/>
                <w:szCs w:val="23"/>
                <w:lang w:val="en-US"/>
              </w:rPr>
            </w:pPr>
            <w:r>
              <w:rPr>
                <w:rFonts w:hint="eastAsia"/>
                <w:sz w:val="23"/>
                <w:szCs w:val="23"/>
                <w:lang w:val="en-US"/>
              </w:rPr>
              <w:t>电话：</w:t>
            </w:r>
            <w:r>
              <w:rPr>
                <w:sz w:val="23"/>
                <w:szCs w:val="23"/>
                <w:lang w:val="en-US"/>
              </w:rPr>
              <w:t>15162874928（冯建敏），18550663166（吕俊峰）</w:t>
            </w:r>
          </w:p>
          <w:p>
            <w:pPr>
              <w:widowControl/>
              <w:autoSpaceDE/>
              <w:autoSpaceDN/>
              <w:snapToGrid w:val="0"/>
              <w:spacing w:line="320" w:lineRule="exact"/>
              <w:rPr>
                <w:sz w:val="23"/>
                <w:szCs w:val="23"/>
                <w:lang w:val="en-US"/>
              </w:rPr>
            </w:pPr>
            <w:r>
              <w:rPr>
                <w:rFonts w:hint="eastAsia"/>
                <w:sz w:val="23"/>
                <w:szCs w:val="23"/>
                <w:lang w:val="en-US"/>
              </w:rPr>
              <w:t>联系人：冯建敏、吕俊峰</w:t>
            </w:r>
          </w:p>
          <w:p>
            <w:pPr>
              <w:widowControl/>
              <w:autoSpaceDE/>
              <w:autoSpaceDN/>
              <w:snapToGrid w:val="0"/>
              <w:spacing w:line="320" w:lineRule="exact"/>
              <w:rPr>
                <w:sz w:val="23"/>
                <w:szCs w:val="23"/>
                <w:lang w:val="en-US"/>
              </w:rPr>
            </w:pPr>
            <w:r>
              <w:rPr>
                <w:sz w:val="23"/>
                <w:szCs w:val="23"/>
                <w:lang w:val="en-US"/>
              </w:rPr>
              <w:t>mail：</w:t>
            </w:r>
            <w:r>
              <w:rPr>
                <w:sz w:val="23"/>
                <w:szCs w:val="23"/>
                <w:u w:val="single"/>
                <w:lang w:val="en-US"/>
              </w:rPr>
              <w:t>szzcjyb@126.com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52" w:type="pct"/>
            <w:vAlign w:val="center"/>
          </w:tcPr>
          <w:p>
            <w:pPr>
              <w:widowControl/>
              <w:autoSpaceDE/>
              <w:autoSpaceDN/>
              <w:snapToGrid w:val="0"/>
              <w:spacing w:line="320" w:lineRule="exact"/>
              <w:jc w:val="center"/>
              <w:rPr>
                <w:sz w:val="23"/>
                <w:szCs w:val="23"/>
              </w:rPr>
            </w:pPr>
            <w:r>
              <w:rPr>
                <w:rFonts w:hint="eastAsia"/>
                <w:sz w:val="23"/>
                <w:szCs w:val="23"/>
                <w:lang w:val="en-US"/>
              </w:rPr>
              <w:t>2</w:t>
            </w:r>
          </w:p>
        </w:tc>
        <w:tc>
          <w:tcPr>
            <w:tcW w:w="475" w:type="pct"/>
            <w:vAlign w:val="center"/>
          </w:tcPr>
          <w:p>
            <w:pPr>
              <w:widowControl/>
              <w:autoSpaceDE/>
              <w:autoSpaceDN/>
              <w:snapToGrid w:val="0"/>
              <w:spacing w:line="320" w:lineRule="exact"/>
              <w:jc w:val="center"/>
              <w:rPr>
                <w:sz w:val="23"/>
                <w:szCs w:val="23"/>
              </w:rPr>
            </w:pPr>
            <w:r>
              <w:rPr>
                <w:rFonts w:hint="eastAsia"/>
                <w:sz w:val="23"/>
                <w:szCs w:val="23"/>
                <w:lang w:val="en-US"/>
              </w:rPr>
              <w:t>3</w:t>
            </w:r>
          </w:p>
        </w:tc>
        <w:tc>
          <w:tcPr>
            <w:tcW w:w="3973" w:type="pct"/>
          </w:tcPr>
          <w:p>
            <w:pPr>
              <w:widowControl/>
              <w:autoSpaceDE/>
              <w:autoSpaceDN/>
              <w:snapToGrid w:val="0"/>
              <w:spacing w:line="320" w:lineRule="exact"/>
              <w:rPr>
                <w:sz w:val="23"/>
                <w:szCs w:val="23"/>
              </w:rPr>
            </w:pPr>
            <w:r>
              <w:rPr>
                <w:rFonts w:hint="eastAsia"/>
                <w:sz w:val="23"/>
                <w:szCs w:val="23"/>
              </w:rPr>
              <w:t>投标人的合格条件：见招标公告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52" w:type="pct"/>
            <w:vAlign w:val="center"/>
          </w:tcPr>
          <w:p>
            <w:pPr>
              <w:widowControl/>
              <w:autoSpaceDE/>
              <w:autoSpaceDN/>
              <w:snapToGrid w:val="0"/>
              <w:spacing w:line="320" w:lineRule="exact"/>
              <w:jc w:val="center"/>
              <w:rPr>
                <w:sz w:val="23"/>
                <w:szCs w:val="23"/>
              </w:rPr>
            </w:pPr>
            <w:r>
              <w:rPr>
                <w:rFonts w:hint="eastAsia"/>
                <w:sz w:val="23"/>
                <w:szCs w:val="23"/>
                <w:lang w:val="en-US"/>
              </w:rPr>
              <w:t>3</w:t>
            </w:r>
          </w:p>
        </w:tc>
        <w:tc>
          <w:tcPr>
            <w:tcW w:w="475" w:type="pct"/>
            <w:vAlign w:val="center"/>
          </w:tcPr>
          <w:p>
            <w:pPr>
              <w:widowControl/>
              <w:autoSpaceDE/>
              <w:autoSpaceDN/>
              <w:snapToGrid w:val="0"/>
              <w:spacing w:line="320" w:lineRule="exact"/>
              <w:jc w:val="center"/>
              <w:rPr>
                <w:sz w:val="23"/>
                <w:szCs w:val="23"/>
              </w:rPr>
            </w:pPr>
            <w:r>
              <w:rPr>
                <w:rFonts w:hint="eastAsia"/>
                <w:sz w:val="23"/>
                <w:szCs w:val="23"/>
              </w:rPr>
              <w:t>5.1</w:t>
            </w:r>
          </w:p>
        </w:tc>
        <w:tc>
          <w:tcPr>
            <w:tcW w:w="3973" w:type="pct"/>
          </w:tcPr>
          <w:p>
            <w:pPr>
              <w:widowControl/>
              <w:autoSpaceDE/>
              <w:autoSpaceDN/>
              <w:snapToGrid w:val="0"/>
              <w:spacing w:line="320" w:lineRule="exact"/>
              <w:rPr>
                <w:sz w:val="23"/>
                <w:szCs w:val="23"/>
              </w:rPr>
            </w:pPr>
            <w:r>
              <w:rPr>
                <w:rFonts w:hint="eastAsia"/>
                <w:sz w:val="23"/>
                <w:szCs w:val="23"/>
              </w:rPr>
              <w:t>现场考察：招标人将不组织投标人进行现场考察，投标人认为需要可自行进行现场考察，招标人将予以必要的协助，费用由投标人自理。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52" w:type="pct"/>
            <w:vAlign w:val="center"/>
          </w:tcPr>
          <w:p>
            <w:pPr>
              <w:widowControl/>
              <w:autoSpaceDE/>
              <w:autoSpaceDN/>
              <w:snapToGrid w:val="0"/>
              <w:spacing w:line="320" w:lineRule="exact"/>
              <w:jc w:val="center"/>
              <w:rPr>
                <w:sz w:val="23"/>
                <w:szCs w:val="23"/>
              </w:rPr>
            </w:pPr>
            <w:r>
              <w:rPr>
                <w:rFonts w:hint="eastAsia"/>
                <w:sz w:val="23"/>
                <w:szCs w:val="23"/>
                <w:lang w:val="en-US"/>
              </w:rPr>
              <w:t>4</w:t>
            </w:r>
          </w:p>
        </w:tc>
        <w:tc>
          <w:tcPr>
            <w:tcW w:w="475" w:type="pct"/>
            <w:vAlign w:val="center"/>
          </w:tcPr>
          <w:p>
            <w:pPr>
              <w:widowControl/>
              <w:autoSpaceDE/>
              <w:autoSpaceDN/>
              <w:snapToGrid w:val="0"/>
              <w:spacing w:line="320" w:lineRule="exact"/>
              <w:jc w:val="center"/>
              <w:rPr>
                <w:sz w:val="23"/>
                <w:szCs w:val="23"/>
              </w:rPr>
            </w:pPr>
            <w:r>
              <w:rPr>
                <w:rFonts w:hint="eastAsia"/>
                <w:sz w:val="23"/>
                <w:szCs w:val="23"/>
              </w:rPr>
              <w:t>6.1</w:t>
            </w:r>
          </w:p>
        </w:tc>
        <w:tc>
          <w:tcPr>
            <w:tcW w:w="3973" w:type="pct"/>
          </w:tcPr>
          <w:p>
            <w:pPr>
              <w:widowControl/>
              <w:autoSpaceDE/>
              <w:autoSpaceDN/>
              <w:snapToGrid w:val="0"/>
              <w:spacing w:line="320" w:lineRule="exact"/>
              <w:rPr>
                <w:sz w:val="23"/>
                <w:szCs w:val="23"/>
              </w:rPr>
            </w:pPr>
            <w:r>
              <w:rPr>
                <w:rFonts w:hint="eastAsia"/>
                <w:sz w:val="23"/>
                <w:szCs w:val="23"/>
              </w:rPr>
              <w:t>标前会议：不组织标前会议。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52" w:type="pct"/>
            <w:vAlign w:val="center"/>
          </w:tcPr>
          <w:p>
            <w:pPr>
              <w:widowControl/>
              <w:autoSpaceDE/>
              <w:autoSpaceDN/>
              <w:snapToGrid w:val="0"/>
              <w:spacing w:line="320" w:lineRule="exact"/>
              <w:jc w:val="center"/>
              <w:rPr>
                <w:sz w:val="23"/>
                <w:szCs w:val="23"/>
                <w:lang w:val="en-US"/>
              </w:rPr>
            </w:pPr>
            <w:r>
              <w:rPr>
                <w:rFonts w:hint="eastAsia"/>
                <w:sz w:val="23"/>
                <w:szCs w:val="23"/>
                <w:lang w:val="en-US"/>
              </w:rPr>
              <w:t>5</w:t>
            </w:r>
          </w:p>
        </w:tc>
        <w:tc>
          <w:tcPr>
            <w:tcW w:w="475" w:type="pct"/>
            <w:vAlign w:val="center"/>
          </w:tcPr>
          <w:p>
            <w:pPr>
              <w:widowControl/>
              <w:autoSpaceDE/>
              <w:autoSpaceDN/>
              <w:snapToGrid w:val="0"/>
              <w:spacing w:line="320" w:lineRule="exact"/>
              <w:jc w:val="center"/>
              <w:rPr>
                <w:sz w:val="23"/>
                <w:szCs w:val="23"/>
              </w:rPr>
            </w:pPr>
            <w:r>
              <w:rPr>
                <w:rFonts w:hint="eastAsia"/>
                <w:sz w:val="23"/>
                <w:szCs w:val="23"/>
              </w:rPr>
              <w:t>11.1</w:t>
            </w:r>
          </w:p>
        </w:tc>
        <w:tc>
          <w:tcPr>
            <w:tcW w:w="3973" w:type="pct"/>
          </w:tcPr>
          <w:p>
            <w:pPr>
              <w:widowControl/>
              <w:autoSpaceDE/>
              <w:autoSpaceDN/>
              <w:snapToGrid w:val="0"/>
              <w:spacing w:line="320" w:lineRule="exact"/>
              <w:rPr>
                <w:rFonts w:ascii="黑体" w:hAnsi="黑体" w:eastAsia="黑体"/>
                <w:b/>
                <w:bCs/>
                <w:sz w:val="24"/>
                <w:szCs w:val="24"/>
              </w:rPr>
            </w:pPr>
            <w:r>
              <w:rPr>
                <w:rFonts w:hint="eastAsia" w:ascii="黑体" w:hAnsi="黑体" w:eastAsia="黑体"/>
                <w:b/>
                <w:bCs/>
                <w:sz w:val="24"/>
                <w:szCs w:val="24"/>
              </w:rPr>
              <w:t>本项目招标人设定投标控制价（总价）：人民币叁拾贰万元</w:t>
            </w:r>
            <w:r>
              <w:rPr>
                <w:rFonts w:hint="eastAsia" w:ascii="黑体" w:hAnsi="黑体" w:eastAsia="黑体"/>
                <w:b/>
                <w:bCs/>
                <w:sz w:val="24"/>
                <w:szCs w:val="24"/>
                <w:lang w:val="en-US"/>
              </w:rPr>
              <w:t>整</w:t>
            </w:r>
            <w:r>
              <w:rPr>
                <w:rFonts w:hint="eastAsia" w:ascii="黑体" w:hAnsi="黑体" w:eastAsia="黑体"/>
                <w:b/>
                <w:bCs/>
                <w:sz w:val="24"/>
                <w:szCs w:val="24"/>
              </w:rPr>
              <w:t>（32</w:t>
            </w:r>
            <w:r>
              <w:rPr>
                <w:rFonts w:ascii="黑体" w:hAnsi="黑体" w:eastAsia="黑体"/>
                <w:b/>
                <w:bCs/>
                <w:sz w:val="24"/>
                <w:szCs w:val="24"/>
              </w:rPr>
              <w:t>0000</w:t>
            </w:r>
            <w:r>
              <w:rPr>
                <w:rFonts w:hint="eastAsia" w:ascii="黑体" w:hAnsi="黑体" w:eastAsia="黑体"/>
                <w:b/>
                <w:bCs/>
                <w:sz w:val="24"/>
                <w:szCs w:val="24"/>
                <w:lang w:val="en-US"/>
              </w:rPr>
              <w:t>元</w:t>
            </w:r>
            <w:r>
              <w:rPr>
                <w:rFonts w:hint="eastAsia" w:ascii="黑体" w:hAnsi="黑体" w:eastAsia="黑体"/>
                <w:b/>
                <w:bCs/>
                <w:sz w:val="24"/>
                <w:szCs w:val="24"/>
              </w:rPr>
              <w:t>）。</w:t>
            </w:r>
          </w:p>
          <w:p>
            <w:pPr>
              <w:widowControl/>
              <w:autoSpaceDE/>
              <w:autoSpaceDN/>
              <w:snapToGrid w:val="0"/>
              <w:spacing w:line="320" w:lineRule="exact"/>
              <w:rPr>
                <w:rFonts w:ascii="黑体" w:hAnsi="黑体" w:eastAsia="黑体"/>
                <w:b/>
                <w:bCs/>
                <w:sz w:val="24"/>
                <w:szCs w:val="24"/>
              </w:rPr>
            </w:pPr>
            <w:r>
              <w:rPr>
                <w:rFonts w:hint="eastAsia" w:ascii="黑体" w:hAnsi="黑体" w:eastAsia="黑体"/>
                <w:b/>
                <w:bCs/>
                <w:sz w:val="24"/>
                <w:szCs w:val="24"/>
              </w:rPr>
              <w:t>开标会上唱出的投标人的投标价超出投标价控制价的，作否决投标处理。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52" w:type="pct"/>
            <w:vAlign w:val="center"/>
          </w:tcPr>
          <w:p>
            <w:pPr>
              <w:widowControl/>
              <w:autoSpaceDE/>
              <w:autoSpaceDN/>
              <w:snapToGrid w:val="0"/>
              <w:spacing w:line="320" w:lineRule="exact"/>
              <w:jc w:val="center"/>
              <w:rPr>
                <w:sz w:val="23"/>
                <w:szCs w:val="23"/>
              </w:rPr>
            </w:pPr>
            <w:r>
              <w:rPr>
                <w:rFonts w:hint="eastAsia"/>
                <w:sz w:val="23"/>
                <w:szCs w:val="23"/>
                <w:lang w:val="en-US"/>
              </w:rPr>
              <w:t>6</w:t>
            </w:r>
          </w:p>
        </w:tc>
        <w:tc>
          <w:tcPr>
            <w:tcW w:w="475" w:type="pct"/>
            <w:vAlign w:val="center"/>
          </w:tcPr>
          <w:p>
            <w:pPr>
              <w:widowControl/>
              <w:autoSpaceDE/>
              <w:autoSpaceDN/>
              <w:snapToGrid w:val="0"/>
              <w:spacing w:line="320" w:lineRule="exact"/>
              <w:jc w:val="center"/>
              <w:rPr>
                <w:sz w:val="23"/>
                <w:szCs w:val="23"/>
              </w:rPr>
            </w:pPr>
            <w:r>
              <w:rPr>
                <w:rFonts w:hint="eastAsia"/>
                <w:sz w:val="23"/>
                <w:szCs w:val="23"/>
              </w:rPr>
              <w:t>11.3</w:t>
            </w:r>
          </w:p>
        </w:tc>
        <w:tc>
          <w:tcPr>
            <w:tcW w:w="3973" w:type="pct"/>
          </w:tcPr>
          <w:p>
            <w:pPr>
              <w:widowControl/>
              <w:autoSpaceDE/>
              <w:autoSpaceDN/>
              <w:snapToGrid w:val="0"/>
              <w:spacing w:line="320" w:lineRule="exact"/>
              <w:rPr>
                <w:sz w:val="23"/>
                <w:szCs w:val="23"/>
              </w:rPr>
            </w:pPr>
            <w:r>
              <w:rPr>
                <w:rFonts w:hint="eastAsia"/>
                <w:sz w:val="23"/>
                <w:szCs w:val="23"/>
              </w:rPr>
              <w:t>暂列金：本项目不设暂列金。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52" w:type="pct"/>
            <w:vAlign w:val="center"/>
          </w:tcPr>
          <w:p>
            <w:pPr>
              <w:widowControl/>
              <w:autoSpaceDE/>
              <w:autoSpaceDN/>
              <w:snapToGrid w:val="0"/>
              <w:spacing w:line="320" w:lineRule="exact"/>
              <w:jc w:val="center"/>
              <w:rPr>
                <w:sz w:val="23"/>
                <w:szCs w:val="23"/>
              </w:rPr>
            </w:pPr>
            <w:r>
              <w:rPr>
                <w:rFonts w:hint="eastAsia"/>
                <w:sz w:val="23"/>
                <w:szCs w:val="23"/>
                <w:lang w:val="en-US"/>
              </w:rPr>
              <w:t>7</w:t>
            </w:r>
          </w:p>
        </w:tc>
        <w:tc>
          <w:tcPr>
            <w:tcW w:w="475" w:type="pct"/>
            <w:vAlign w:val="center"/>
          </w:tcPr>
          <w:p>
            <w:pPr>
              <w:widowControl/>
              <w:autoSpaceDE/>
              <w:autoSpaceDN/>
              <w:snapToGrid w:val="0"/>
              <w:spacing w:line="320" w:lineRule="exact"/>
              <w:jc w:val="center"/>
              <w:rPr>
                <w:sz w:val="23"/>
                <w:szCs w:val="23"/>
              </w:rPr>
            </w:pPr>
            <w:r>
              <w:rPr>
                <w:rFonts w:hint="eastAsia"/>
                <w:sz w:val="23"/>
                <w:szCs w:val="23"/>
              </w:rPr>
              <w:t>11.</w:t>
            </w:r>
            <w:r>
              <w:rPr>
                <w:sz w:val="23"/>
                <w:szCs w:val="23"/>
              </w:rPr>
              <w:t>7</w:t>
            </w:r>
          </w:p>
        </w:tc>
        <w:tc>
          <w:tcPr>
            <w:tcW w:w="3973" w:type="pct"/>
          </w:tcPr>
          <w:p>
            <w:pPr>
              <w:widowControl/>
              <w:autoSpaceDE/>
              <w:autoSpaceDN/>
              <w:snapToGrid w:val="0"/>
              <w:spacing w:line="320" w:lineRule="exact"/>
              <w:rPr>
                <w:sz w:val="23"/>
                <w:szCs w:val="23"/>
              </w:rPr>
            </w:pPr>
            <w:r>
              <w:rPr>
                <w:rFonts w:hint="eastAsia"/>
                <w:b/>
                <w:bCs/>
                <w:sz w:val="23"/>
                <w:szCs w:val="23"/>
              </w:rPr>
              <w:t>合同调价：在合同实施期间，合同总价不随国家政策或法规、标准及市场因素的变化而进行调整。也不因实际工作周期的延长或缩短而调整。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52" w:type="pct"/>
            <w:vAlign w:val="center"/>
          </w:tcPr>
          <w:p>
            <w:pPr>
              <w:widowControl/>
              <w:autoSpaceDE/>
              <w:autoSpaceDN/>
              <w:snapToGrid w:val="0"/>
              <w:spacing w:line="320" w:lineRule="exact"/>
              <w:jc w:val="center"/>
              <w:rPr>
                <w:sz w:val="23"/>
                <w:szCs w:val="23"/>
              </w:rPr>
            </w:pPr>
            <w:r>
              <w:rPr>
                <w:rFonts w:hint="eastAsia"/>
                <w:sz w:val="23"/>
                <w:szCs w:val="23"/>
                <w:lang w:val="en-US"/>
              </w:rPr>
              <w:t>8</w:t>
            </w:r>
          </w:p>
        </w:tc>
        <w:tc>
          <w:tcPr>
            <w:tcW w:w="475" w:type="pct"/>
            <w:vAlign w:val="center"/>
          </w:tcPr>
          <w:p>
            <w:pPr>
              <w:widowControl/>
              <w:autoSpaceDE/>
              <w:autoSpaceDN/>
              <w:snapToGrid w:val="0"/>
              <w:spacing w:line="320" w:lineRule="exact"/>
              <w:jc w:val="center"/>
              <w:rPr>
                <w:sz w:val="23"/>
                <w:szCs w:val="23"/>
              </w:rPr>
            </w:pPr>
            <w:r>
              <w:rPr>
                <w:rFonts w:hint="eastAsia"/>
                <w:sz w:val="23"/>
                <w:szCs w:val="23"/>
              </w:rPr>
              <w:t>12.1</w:t>
            </w:r>
          </w:p>
        </w:tc>
        <w:tc>
          <w:tcPr>
            <w:tcW w:w="3973" w:type="pct"/>
          </w:tcPr>
          <w:p>
            <w:pPr>
              <w:widowControl/>
              <w:autoSpaceDE/>
              <w:autoSpaceDN/>
              <w:snapToGrid w:val="0"/>
              <w:spacing w:line="320" w:lineRule="exact"/>
              <w:rPr>
                <w:b/>
                <w:bCs/>
                <w:sz w:val="23"/>
                <w:szCs w:val="23"/>
              </w:rPr>
            </w:pPr>
            <w:r>
              <w:rPr>
                <w:rFonts w:hint="eastAsia"/>
                <w:sz w:val="23"/>
                <w:szCs w:val="23"/>
              </w:rPr>
              <w:t>投标文件有效期：从开标之日起90天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52" w:type="pct"/>
            <w:vAlign w:val="center"/>
          </w:tcPr>
          <w:p>
            <w:pPr>
              <w:widowControl/>
              <w:autoSpaceDE/>
              <w:autoSpaceDN/>
              <w:snapToGrid w:val="0"/>
              <w:spacing w:line="320" w:lineRule="exact"/>
              <w:jc w:val="center"/>
              <w:rPr>
                <w:sz w:val="23"/>
                <w:szCs w:val="23"/>
              </w:rPr>
            </w:pPr>
            <w:r>
              <w:rPr>
                <w:rFonts w:hint="eastAsia"/>
                <w:sz w:val="23"/>
                <w:szCs w:val="23"/>
                <w:lang w:val="en-US"/>
              </w:rPr>
              <w:t>9</w:t>
            </w:r>
          </w:p>
        </w:tc>
        <w:tc>
          <w:tcPr>
            <w:tcW w:w="475" w:type="pct"/>
            <w:vAlign w:val="center"/>
          </w:tcPr>
          <w:p>
            <w:pPr>
              <w:widowControl/>
              <w:autoSpaceDE/>
              <w:autoSpaceDN/>
              <w:snapToGrid w:val="0"/>
              <w:spacing w:line="320" w:lineRule="exact"/>
              <w:jc w:val="center"/>
              <w:rPr>
                <w:sz w:val="23"/>
                <w:szCs w:val="23"/>
              </w:rPr>
            </w:pPr>
            <w:r>
              <w:rPr>
                <w:rFonts w:hint="eastAsia"/>
                <w:sz w:val="23"/>
                <w:szCs w:val="23"/>
              </w:rPr>
              <w:t>13</w:t>
            </w:r>
          </w:p>
        </w:tc>
        <w:tc>
          <w:tcPr>
            <w:tcW w:w="3973" w:type="pct"/>
          </w:tcPr>
          <w:p>
            <w:pPr>
              <w:widowControl/>
              <w:autoSpaceDE/>
              <w:autoSpaceDN/>
              <w:snapToGrid w:val="0"/>
              <w:spacing w:line="320" w:lineRule="exact"/>
              <w:rPr>
                <w:sz w:val="23"/>
                <w:szCs w:val="23"/>
              </w:rPr>
            </w:pPr>
            <w:r>
              <w:rPr>
                <w:sz w:val="23"/>
                <w:szCs w:val="23"/>
              </w:rPr>
              <w:t>投标保证金的金额：</w:t>
            </w:r>
            <w:r>
              <w:rPr>
                <w:sz w:val="23"/>
                <w:szCs w:val="23"/>
                <w:u w:val="single"/>
                <w:lang w:val="en-US"/>
              </w:rPr>
              <w:t>5</w:t>
            </w:r>
            <w:r>
              <w:rPr>
                <w:rFonts w:hint="eastAsia"/>
                <w:sz w:val="23"/>
                <w:szCs w:val="23"/>
                <w:u w:val="single"/>
                <w:lang w:val="en-US"/>
              </w:rPr>
              <w:t>000</w:t>
            </w:r>
            <w:r>
              <w:rPr>
                <w:sz w:val="23"/>
                <w:szCs w:val="23"/>
              </w:rPr>
              <w:t>元/投标人</w:t>
            </w:r>
          </w:p>
          <w:p>
            <w:pPr>
              <w:widowControl/>
              <w:autoSpaceDE/>
              <w:autoSpaceDN/>
              <w:snapToGrid w:val="0"/>
              <w:spacing w:line="320" w:lineRule="exact"/>
              <w:rPr>
                <w:sz w:val="23"/>
                <w:szCs w:val="23"/>
              </w:rPr>
            </w:pPr>
            <w:r>
              <w:rPr>
                <w:rFonts w:hint="eastAsia"/>
                <w:sz w:val="23"/>
                <w:szCs w:val="23"/>
              </w:rPr>
              <w:t>投标保证金的形式：电汇、银行汇票或银行本票或银行保函（请备注项目名称）或招标人认可的其它形式。</w:t>
            </w:r>
          </w:p>
          <w:p>
            <w:pPr>
              <w:widowControl/>
              <w:autoSpaceDE/>
              <w:autoSpaceDN/>
              <w:snapToGrid w:val="0"/>
              <w:spacing w:line="320" w:lineRule="exact"/>
              <w:rPr>
                <w:sz w:val="23"/>
                <w:szCs w:val="23"/>
              </w:rPr>
            </w:pPr>
            <w:r>
              <w:rPr>
                <w:rFonts w:hint="eastAsia"/>
                <w:sz w:val="23"/>
                <w:szCs w:val="23"/>
              </w:rPr>
              <w:t>（</w:t>
            </w:r>
            <w:r>
              <w:rPr>
                <w:sz w:val="23"/>
                <w:szCs w:val="23"/>
              </w:rPr>
              <w:t>1）若采用电汇，投标人应在上述投标保证金递交截止时间之前，将投标保证金由投标人基本账户一次性汇入招标人指定账户，否则，视为投标保证金无效。</w:t>
            </w:r>
          </w:p>
          <w:p>
            <w:pPr>
              <w:widowControl/>
              <w:autoSpaceDE/>
              <w:autoSpaceDN/>
              <w:snapToGrid w:val="0"/>
              <w:spacing w:line="320" w:lineRule="exact"/>
              <w:rPr>
                <w:sz w:val="23"/>
                <w:szCs w:val="23"/>
              </w:rPr>
            </w:pPr>
            <w:r>
              <w:rPr>
                <w:rFonts w:hint="eastAsia"/>
                <w:sz w:val="23"/>
                <w:szCs w:val="23"/>
              </w:rPr>
              <w:t>（</w:t>
            </w:r>
            <w:r>
              <w:rPr>
                <w:sz w:val="23"/>
                <w:szCs w:val="23"/>
              </w:rPr>
              <w:t>2）若采用银行汇票或银行本票（若投标人基本开户行在南通，则可递交银行本票），投标人应在上述投标保证金递交截止时间之前，将银行汇票或银行本票递交给招标代理，且投标保证金必须由投标人基本账户汇出，否则视为投标保证金无效。（采用银行本票的，必须同时递交银行本票申请单的复印件）。</w:t>
            </w:r>
          </w:p>
          <w:p>
            <w:pPr>
              <w:widowControl/>
              <w:autoSpaceDE/>
              <w:autoSpaceDN/>
              <w:snapToGrid w:val="0"/>
              <w:spacing w:line="320" w:lineRule="exact"/>
              <w:rPr>
                <w:sz w:val="23"/>
                <w:szCs w:val="23"/>
              </w:rPr>
            </w:pPr>
            <w:r>
              <w:rPr>
                <w:rFonts w:hint="eastAsia"/>
                <w:sz w:val="23"/>
                <w:szCs w:val="23"/>
              </w:rPr>
              <w:t>（</w:t>
            </w:r>
            <w:r>
              <w:rPr>
                <w:sz w:val="23"/>
                <w:szCs w:val="23"/>
              </w:rPr>
              <w:t>3）若采用银行保函，银行保函应采用招标文件提供的格式，且应在投标有效期内保持有效，招标人如果按本章第3.3.3项的规定延长了投标有效期，则投标保证金的有效期也相应延长。银行保函原件应按招标文件的要求在递交投标文件截止时间之前单独密封提交给招标人，并将银行保函复印件装订在投标文件的正本之中。</w:t>
            </w:r>
          </w:p>
          <w:p>
            <w:pPr>
              <w:widowControl/>
              <w:autoSpaceDE/>
              <w:autoSpaceDN/>
              <w:snapToGrid w:val="0"/>
              <w:spacing w:line="320" w:lineRule="exact"/>
              <w:rPr>
                <w:sz w:val="23"/>
                <w:szCs w:val="23"/>
              </w:rPr>
            </w:pPr>
            <w:r>
              <w:rPr>
                <w:rFonts w:hint="eastAsia"/>
                <w:sz w:val="23"/>
                <w:szCs w:val="23"/>
              </w:rPr>
              <w:t>招标人的开户银行及账号如下：</w:t>
            </w:r>
          </w:p>
          <w:p>
            <w:pPr>
              <w:widowControl/>
              <w:autoSpaceDE/>
              <w:autoSpaceDN/>
              <w:snapToGrid w:val="0"/>
              <w:spacing w:line="320" w:lineRule="exact"/>
              <w:rPr>
                <w:sz w:val="23"/>
                <w:szCs w:val="23"/>
              </w:rPr>
            </w:pPr>
            <w:r>
              <w:rPr>
                <w:rFonts w:hint="eastAsia"/>
                <w:sz w:val="23"/>
                <w:szCs w:val="23"/>
              </w:rPr>
              <w:t>单位名称：中诚工程建设管理（苏州）股份有限公司启海分公司</w:t>
            </w:r>
          </w:p>
          <w:p>
            <w:pPr>
              <w:widowControl/>
              <w:autoSpaceDE/>
              <w:autoSpaceDN/>
              <w:snapToGrid w:val="0"/>
              <w:spacing w:line="320" w:lineRule="exact"/>
              <w:rPr>
                <w:sz w:val="23"/>
                <w:szCs w:val="23"/>
              </w:rPr>
            </w:pPr>
            <w:r>
              <w:rPr>
                <w:rFonts w:hint="eastAsia"/>
                <w:sz w:val="23"/>
                <w:szCs w:val="23"/>
              </w:rPr>
              <w:t>账号：</w:t>
            </w:r>
            <w:r>
              <w:rPr>
                <w:sz w:val="23"/>
                <w:szCs w:val="23"/>
              </w:rPr>
              <w:t>10716001040026646</w:t>
            </w:r>
          </w:p>
          <w:p>
            <w:pPr>
              <w:widowControl/>
              <w:autoSpaceDE/>
              <w:autoSpaceDN/>
              <w:snapToGrid w:val="0"/>
              <w:spacing w:line="320" w:lineRule="exact"/>
              <w:rPr>
                <w:sz w:val="23"/>
                <w:szCs w:val="23"/>
              </w:rPr>
            </w:pPr>
            <w:r>
              <w:rPr>
                <w:rFonts w:hint="eastAsia"/>
                <w:sz w:val="23"/>
                <w:szCs w:val="23"/>
              </w:rPr>
              <w:t>开户行：中国农业银行南通人民东路支行</w:t>
            </w:r>
            <w:bookmarkStart w:id="5" w:name="_Hlk65332028"/>
          </w:p>
          <w:bookmarkEnd w:id="5"/>
          <w:p>
            <w:pPr>
              <w:widowControl/>
              <w:autoSpaceDE/>
              <w:autoSpaceDN/>
              <w:snapToGrid w:val="0"/>
              <w:spacing w:line="320" w:lineRule="exact"/>
              <w:rPr>
                <w:sz w:val="23"/>
                <w:szCs w:val="23"/>
              </w:rPr>
            </w:pPr>
            <w:r>
              <w:rPr>
                <w:rFonts w:hint="eastAsia"/>
                <w:sz w:val="23"/>
                <w:szCs w:val="23"/>
              </w:rPr>
              <w:t>采用银行保函时，出具保函的银行级别：支行及以上级别的国有或股份制商业银行”</w:t>
            </w:r>
          </w:p>
          <w:p>
            <w:pPr>
              <w:widowControl/>
              <w:autoSpaceDE/>
              <w:autoSpaceDN/>
              <w:snapToGrid w:val="0"/>
              <w:spacing w:line="320" w:lineRule="exact"/>
              <w:rPr>
                <w:sz w:val="23"/>
                <w:szCs w:val="23"/>
              </w:rPr>
            </w:pPr>
            <w:r>
              <w:rPr>
                <w:rFonts w:hint="eastAsia"/>
                <w:sz w:val="23"/>
                <w:szCs w:val="23"/>
              </w:rPr>
              <w:t>（</w:t>
            </w:r>
            <w:r>
              <w:rPr>
                <w:sz w:val="23"/>
                <w:szCs w:val="23"/>
              </w:rPr>
              <w:t>4</w:t>
            </w:r>
            <w:r>
              <w:rPr>
                <w:rFonts w:hint="eastAsia"/>
                <w:sz w:val="23"/>
                <w:szCs w:val="23"/>
              </w:rPr>
              <w:t>）若采用现金形式，请单独密封在一个信封内，并标明单位名称。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52" w:type="pct"/>
            <w:vAlign w:val="center"/>
          </w:tcPr>
          <w:p>
            <w:pPr>
              <w:widowControl/>
              <w:autoSpaceDE/>
              <w:autoSpaceDN/>
              <w:snapToGrid w:val="0"/>
              <w:spacing w:line="320" w:lineRule="exact"/>
              <w:jc w:val="center"/>
              <w:rPr>
                <w:sz w:val="23"/>
                <w:szCs w:val="23"/>
              </w:rPr>
            </w:pPr>
            <w:r>
              <w:rPr>
                <w:rFonts w:hint="eastAsia"/>
                <w:sz w:val="23"/>
                <w:szCs w:val="23"/>
                <w:lang w:val="en-US"/>
              </w:rPr>
              <w:t>10</w:t>
            </w:r>
          </w:p>
        </w:tc>
        <w:tc>
          <w:tcPr>
            <w:tcW w:w="475" w:type="pct"/>
            <w:vAlign w:val="center"/>
          </w:tcPr>
          <w:p>
            <w:pPr>
              <w:widowControl/>
              <w:autoSpaceDE/>
              <w:autoSpaceDN/>
              <w:snapToGrid w:val="0"/>
              <w:spacing w:line="320" w:lineRule="exact"/>
              <w:jc w:val="center"/>
              <w:rPr>
                <w:sz w:val="23"/>
                <w:szCs w:val="23"/>
              </w:rPr>
            </w:pPr>
            <w:r>
              <w:rPr>
                <w:rFonts w:hint="eastAsia"/>
                <w:sz w:val="23"/>
                <w:szCs w:val="23"/>
              </w:rPr>
              <w:t>16.1</w:t>
            </w:r>
          </w:p>
        </w:tc>
        <w:tc>
          <w:tcPr>
            <w:tcW w:w="3973" w:type="pct"/>
          </w:tcPr>
          <w:p>
            <w:pPr>
              <w:widowControl/>
              <w:autoSpaceDE/>
              <w:autoSpaceDN/>
              <w:snapToGrid w:val="0"/>
              <w:spacing w:line="320" w:lineRule="exact"/>
              <w:rPr>
                <w:sz w:val="23"/>
                <w:szCs w:val="23"/>
              </w:rPr>
            </w:pPr>
            <w:r>
              <w:rPr>
                <w:rFonts w:hint="eastAsia"/>
                <w:sz w:val="23"/>
                <w:szCs w:val="23"/>
              </w:rPr>
              <w:t>递交投标文件的</w:t>
            </w:r>
            <w:r>
              <w:rPr>
                <w:rFonts w:hint="eastAsia"/>
                <w:sz w:val="23"/>
                <w:szCs w:val="23"/>
                <w:lang w:val="en-US"/>
              </w:rPr>
              <w:t>时间和</w:t>
            </w:r>
            <w:r>
              <w:rPr>
                <w:rFonts w:hint="eastAsia"/>
                <w:sz w:val="23"/>
                <w:szCs w:val="23"/>
              </w:rPr>
              <w:t>地点：见招标公告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52" w:type="pct"/>
            <w:vAlign w:val="center"/>
          </w:tcPr>
          <w:p>
            <w:pPr>
              <w:widowControl/>
              <w:autoSpaceDE/>
              <w:autoSpaceDN/>
              <w:snapToGrid w:val="0"/>
              <w:spacing w:line="320" w:lineRule="exact"/>
              <w:jc w:val="center"/>
              <w:rPr>
                <w:sz w:val="23"/>
                <w:szCs w:val="23"/>
              </w:rPr>
            </w:pPr>
            <w:r>
              <w:rPr>
                <w:rFonts w:hint="eastAsia"/>
                <w:sz w:val="23"/>
                <w:szCs w:val="23"/>
                <w:lang w:val="en-US"/>
              </w:rPr>
              <w:t>11</w:t>
            </w:r>
          </w:p>
        </w:tc>
        <w:tc>
          <w:tcPr>
            <w:tcW w:w="475" w:type="pct"/>
            <w:vAlign w:val="center"/>
          </w:tcPr>
          <w:p>
            <w:pPr>
              <w:widowControl/>
              <w:autoSpaceDE/>
              <w:autoSpaceDN/>
              <w:snapToGrid w:val="0"/>
              <w:spacing w:line="320" w:lineRule="exact"/>
              <w:jc w:val="center"/>
              <w:rPr>
                <w:sz w:val="23"/>
                <w:szCs w:val="23"/>
              </w:rPr>
            </w:pPr>
            <w:r>
              <w:rPr>
                <w:rFonts w:hint="eastAsia"/>
                <w:sz w:val="23"/>
                <w:szCs w:val="23"/>
              </w:rPr>
              <w:t>19.1</w:t>
            </w:r>
          </w:p>
        </w:tc>
        <w:tc>
          <w:tcPr>
            <w:tcW w:w="3973" w:type="pct"/>
          </w:tcPr>
          <w:p>
            <w:pPr>
              <w:widowControl/>
              <w:autoSpaceDE/>
              <w:autoSpaceDN/>
              <w:snapToGrid w:val="0"/>
              <w:spacing w:line="320" w:lineRule="exact"/>
              <w:rPr>
                <w:sz w:val="23"/>
                <w:szCs w:val="23"/>
              </w:rPr>
            </w:pPr>
            <w:r>
              <w:rPr>
                <w:rFonts w:hint="eastAsia"/>
                <w:sz w:val="23"/>
                <w:szCs w:val="23"/>
                <w:lang w:val="en-US"/>
              </w:rPr>
              <w:t>开标时间和</w:t>
            </w:r>
            <w:r>
              <w:rPr>
                <w:rFonts w:hint="eastAsia"/>
                <w:sz w:val="23"/>
                <w:szCs w:val="23"/>
              </w:rPr>
              <w:t>地点：见招标公告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52" w:type="pct"/>
            <w:vAlign w:val="center"/>
          </w:tcPr>
          <w:p>
            <w:pPr>
              <w:widowControl/>
              <w:autoSpaceDE/>
              <w:autoSpaceDN/>
              <w:snapToGrid w:val="0"/>
              <w:spacing w:line="320" w:lineRule="exact"/>
              <w:jc w:val="center"/>
              <w:rPr>
                <w:sz w:val="23"/>
                <w:szCs w:val="23"/>
              </w:rPr>
            </w:pPr>
            <w:r>
              <w:rPr>
                <w:rFonts w:hint="eastAsia"/>
                <w:sz w:val="23"/>
                <w:szCs w:val="23"/>
                <w:lang w:val="en-US"/>
              </w:rPr>
              <w:t>12</w:t>
            </w:r>
          </w:p>
        </w:tc>
        <w:tc>
          <w:tcPr>
            <w:tcW w:w="475" w:type="pct"/>
            <w:vAlign w:val="center"/>
          </w:tcPr>
          <w:p>
            <w:pPr>
              <w:widowControl/>
              <w:autoSpaceDE/>
              <w:autoSpaceDN/>
              <w:snapToGrid w:val="0"/>
              <w:spacing w:line="320" w:lineRule="exact"/>
              <w:jc w:val="center"/>
              <w:rPr>
                <w:sz w:val="23"/>
                <w:szCs w:val="23"/>
              </w:rPr>
            </w:pPr>
            <w:r>
              <w:rPr>
                <w:rFonts w:hint="eastAsia"/>
                <w:sz w:val="23"/>
                <w:szCs w:val="23"/>
              </w:rPr>
              <w:t>23.1</w:t>
            </w:r>
          </w:p>
        </w:tc>
        <w:tc>
          <w:tcPr>
            <w:tcW w:w="3973" w:type="pct"/>
          </w:tcPr>
          <w:p>
            <w:pPr>
              <w:widowControl/>
              <w:autoSpaceDE/>
              <w:autoSpaceDN/>
              <w:snapToGrid w:val="0"/>
              <w:spacing w:line="320" w:lineRule="exact"/>
              <w:rPr>
                <w:sz w:val="23"/>
                <w:szCs w:val="23"/>
              </w:rPr>
            </w:pPr>
            <w:r>
              <w:rPr>
                <w:rFonts w:hint="eastAsia"/>
                <w:sz w:val="23"/>
                <w:szCs w:val="23"/>
              </w:rPr>
              <w:t>履约保证金的形式：采用银行保函、电汇或银行汇票形式</w:t>
            </w:r>
          </w:p>
          <w:p>
            <w:pPr>
              <w:widowControl/>
              <w:autoSpaceDE/>
              <w:autoSpaceDN/>
              <w:snapToGrid w:val="0"/>
              <w:spacing w:line="320" w:lineRule="exact"/>
              <w:rPr>
                <w:sz w:val="23"/>
                <w:szCs w:val="23"/>
              </w:rPr>
            </w:pPr>
            <w:r>
              <w:rPr>
                <w:rFonts w:hint="eastAsia"/>
                <w:sz w:val="23"/>
                <w:szCs w:val="23"/>
              </w:rPr>
              <w:t>履约保证金的金额：5% 签约合同价。</w:t>
            </w:r>
          </w:p>
          <w:p>
            <w:pPr>
              <w:widowControl/>
              <w:autoSpaceDE/>
              <w:autoSpaceDN/>
              <w:snapToGrid w:val="0"/>
              <w:spacing w:line="320" w:lineRule="exact"/>
              <w:rPr>
                <w:sz w:val="23"/>
                <w:szCs w:val="23"/>
              </w:rPr>
            </w:pPr>
            <w:r>
              <w:rPr>
                <w:rFonts w:hint="eastAsia"/>
                <w:sz w:val="23"/>
                <w:szCs w:val="23"/>
              </w:rPr>
              <w:t>采用银行保函时，出具保函的银行级别</w:t>
            </w:r>
            <w:r>
              <w:rPr>
                <w:sz w:val="23"/>
                <w:szCs w:val="23"/>
              </w:rPr>
              <w:t>：</w:t>
            </w:r>
            <w:r>
              <w:rPr>
                <w:rFonts w:hint="eastAsia"/>
                <w:sz w:val="23"/>
                <w:szCs w:val="23"/>
              </w:rPr>
              <w:t>支行及以上级别的国有或股份制商业银行。</w:t>
            </w:r>
          </w:p>
        </w:tc>
      </w:tr>
    </w:tbl>
    <w:p>
      <w:pPr>
        <w:spacing w:line="360" w:lineRule="auto"/>
        <w:ind w:firstLine="460" w:firstLineChars="200"/>
        <w:rPr>
          <w:sz w:val="23"/>
          <w:szCs w:val="23"/>
        </w:rPr>
      </w:pPr>
      <w:r>
        <w:rPr>
          <w:sz w:val="23"/>
          <w:szCs w:val="23"/>
        </w:rPr>
        <w:br w:type="page"/>
      </w:r>
    </w:p>
    <w:p>
      <w:pPr>
        <w:pStyle w:val="7"/>
        <w:snapToGrid w:val="0"/>
        <w:spacing w:line="360" w:lineRule="auto"/>
        <w:ind w:left="0" w:firstLine="460" w:firstLineChars="200"/>
        <w:jc w:val="center"/>
        <w:rPr>
          <w:sz w:val="23"/>
          <w:szCs w:val="23"/>
        </w:rPr>
      </w:pPr>
      <w:r>
        <w:rPr>
          <w:sz w:val="23"/>
          <w:szCs w:val="23"/>
        </w:rPr>
        <w:t>投标人须知正文</w:t>
      </w:r>
    </w:p>
    <w:p>
      <w:pPr>
        <w:snapToGrid w:val="0"/>
        <w:spacing w:line="360" w:lineRule="auto"/>
        <w:ind w:firstLine="460" w:firstLineChars="200"/>
        <w:jc w:val="center"/>
        <w:rPr>
          <w:sz w:val="23"/>
          <w:szCs w:val="23"/>
        </w:rPr>
      </w:pPr>
      <w:r>
        <w:rPr>
          <w:sz w:val="23"/>
          <w:szCs w:val="23"/>
        </w:rPr>
        <w:t>A、总则</w:t>
      </w:r>
    </w:p>
    <w:p>
      <w:pPr>
        <w:snapToGrid w:val="0"/>
        <w:spacing w:line="360" w:lineRule="auto"/>
        <w:ind w:firstLine="460" w:firstLineChars="200"/>
        <w:rPr>
          <w:sz w:val="23"/>
          <w:szCs w:val="23"/>
        </w:rPr>
      </w:pPr>
      <w:r>
        <w:rPr>
          <w:sz w:val="23"/>
          <w:szCs w:val="23"/>
        </w:rPr>
        <w:t>1、招标项目说明</w:t>
      </w:r>
    </w:p>
    <w:p>
      <w:pPr>
        <w:pStyle w:val="27"/>
        <w:numPr>
          <w:ilvl w:val="1"/>
          <w:numId w:val="1"/>
        </w:numPr>
        <w:tabs>
          <w:tab w:val="left" w:pos="1005"/>
        </w:tabs>
        <w:snapToGrid w:val="0"/>
        <w:spacing w:line="360" w:lineRule="auto"/>
        <w:ind w:left="0" w:firstLine="460" w:firstLineChars="200"/>
        <w:rPr>
          <w:sz w:val="23"/>
          <w:szCs w:val="23"/>
        </w:rPr>
      </w:pPr>
      <w:r>
        <w:rPr>
          <w:sz w:val="23"/>
          <w:szCs w:val="23"/>
        </w:rPr>
        <w:t>定义和解释</w:t>
      </w:r>
    </w:p>
    <w:p>
      <w:pPr>
        <w:snapToGrid w:val="0"/>
        <w:spacing w:line="360" w:lineRule="auto"/>
        <w:ind w:firstLine="460" w:firstLineChars="200"/>
        <w:rPr>
          <w:sz w:val="23"/>
          <w:szCs w:val="23"/>
        </w:rPr>
      </w:pPr>
      <w:r>
        <w:rPr>
          <w:sz w:val="23"/>
          <w:szCs w:val="23"/>
        </w:rPr>
        <w:t>招标人：组织招标工作的机构。本项目招标人为</w:t>
      </w:r>
      <w:r>
        <w:rPr>
          <w:rFonts w:hint="eastAsia"/>
          <w:sz w:val="23"/>
          <w:szCs w:val="23"/>
        </w:rPr>
        <w:t>南通港码头管理有限公司</w:t>
      </w:r>
      <w:r>
        <w:rPr>
          <w:sz w:val="23"/>
          <w:szCs w:val="23"/>
        </w:rPr>
        <w:t>（下称招标人）。</w:t>
      </w:r>
    </w:p>
    <w:p>
      <w:pPr>
        <w:snapToGrid w:val="0"/>
        <w:spacing w:line="360" w:lineRule="auto"/>
        <w:ind w:firstLine="460" w:firstLineChars="200"/>
        <w:rPr>
          <w:sz w:val="23"/>
          <w:szCs w:val="23"/>
        </w:rPr>
      </w:pPr>
      <w:r>
        <w:rPr>
          <w:sz w:val="23"/>
          <w:szCs w:val="23"/>
        </w:rPr>
        <w:t>投标人：参与</w:t>
      </w:r>
      <w:r>
        <w:rPr>
          <w:rFonts w:hint="eastAsia"/>
          <w:sz w:val="23"/>
          <w:szCs w:val="23"/>
        </w:rPr>
        <w:t>南通港码头管理有限公司3#—4#泊位水工结构及陆域沉降位移观测服务NTGMT-CJGC标段</w:t>
      </w:r>
      <w:r>
        <w:rPr>
          <w:sz w:val="23"/>
          <w:szCs w:val="23"/>
        </w:rPr>
        <w:t>竞争，具备相应资质（资格）的单位。</w:t>
      </w:r>
    </w:p>
    <w:p>
      <w:pPr>
        <w:snapToGrid w:val="0"/>
        <w:spacing w:line="360" w:lineRule="auto"/>
        <w:ind w:firstLine="460" w:firstLineChars="200"/>
        <w:rPr>
          <w:sz w:val="23"/>
          <w:szCs w:val="23"/>
        </w:rPr>
      </w:pPr>
      <w:r>
        <w:rPr>
          <w:sz w:val="23"/>
          <w:szCs w:val="23"/>
        </w:rPr>
        <w:t>中标人：最后中标的投标人。</w:t>
      </w:r>
    </w:p>
    <w:p>
      <w:pPr>
        <w:snapToGrid w:val="0"/>
        <w:spacing w:line="360" w:lineRule="auto"/>
        <w:ind w:firstLine="460" w:firstLineChars="200"/>
        <w:rPr>
          <w:sz w:val="23"/>
          <w:szCs w:val="23"/>
        </w:rPr>
      </w:pPr>
      <w:r>
        <w:rPr>
          <w:sz w:val="23"/>
          <w:szCs w:val="23"/>
        </w:rPr>
        <w:t>招标代理：受招标人的委托，代理招标人组织招标活动的招标代理单位， 本项目招标代理为</w:t>
      </w:r>
      <w:r>
        <w:rPr>
          <w:rFonts w:hint="eastAsia"/>
          <w:sz w:val="23"/>
          <w:szCs w:val="23"/>
        </w:rPr>
        <w:t>中诚工程建设管理（苏州）股份有限公司</w:t>
      </w:r>
      <w:r>
        <w:rPr>
          <w:sz w:val="23"/>
          <w:szCs w:val="23"/>
        </w:rPr>
        <w:t>（下称招标代理）</w:t>
      </w:r>
      <w:r>
        <w:rPr>
          <w:rFonts w:hint="eastAsia"/>
          <w:sz w:val="23"/>
          <w:szCs w:val="23"/>
        </w:rPr>
        <w:t>。</w:t>
      </w:r>
    </w:p>
    <w:p>
      <w:pPr>
        <w:snapToGrid w:val="0"/>
        <w:spacing w:line="360" w:lineRule="auto"/>
        <w:ind w:firstLine="452" w:firstLineChars="200"/>
        <w:rPr>
          <w:sz w:val="23"/>
          <w:szCs w:val="23"/>
        </w:rPr>
      </w:pPr>
      <w:r>
        <w:rPr>
          <w:spacing w:val="-2"/>
          <w:sz w:val="23"/>
          <w:szCs w:val="23"/>
        </w:rPr>
        <w:t>项目简介及招标内容</w:t>
      </w:r>
      <w:r>
        <w:rPr>
          <w:sz w:val="23"/>
          <w:szCs w:val="23"/>
        </w:rPr>
        <w:t>详见招标公告。</w:t>
      </w:r>
    </w:p>
    <w:p>
      <w:pPr>
        <w:snapToGrid w:val="0"/>
        <w:spacing w:line="360" w:lineRule="auto"/>
        <w:ind w:firstLine="460" w:firstLineChars="200"/>
        <w:rPr>
          <w:sz w:val="23"/>
          <w:szCs w:val="23"/>
        </w:rPr>
      </w:pPr>
      <w:r>
        <w:rPr>
          <w:sz w:val="23"/>
          <w:szCs w:val="23"/>
        </w:rPr>
        <w:t>2、投标人的合格条件</w:t>
      </w:r>
    </w:p>
    <w:p>
      <w:pPr>
        <w:pStyle w:val="27"/>
        <w:numPr>
          <w:ilvl w:val="1"/>
          <w:numId w:val="0"/>
        </w:numPr>
        <w:tabs>
          <w:tab w:val="left" w:pos="1085"/>
        </w:tabs>
        <w:snapToGrid w:val="0"/>
        <w:spacing w:line="360" w:lineRule="auto"/>
        <w:ind w:firstLine="456" w:firstLineChars="200"/>
        <w:rPr>
          <w:sz w:val="23"/>
          <w:szCs w:val="23"/>
        </w:rPr>
      </w:pPr>
      <w:r>
        <w:rPr>
          <w:rFonts w:hint="eastAsia"/>
          <w:spacing w:val="-1"/>
          <w:sz w:val="23"/>
          <w:szCs w:val="23"/>
          <w:lang w:val="en-US"/>
        </w:rPr>
        <w:t>2.1</w:t>
      </w:r>
      <w:r>
        <w:rPr>
          <w:spacing w:val="-1"/>
          <w:sz w:val="23"/>
          <w:szCs w:val="23"/>
        </w:rPr>
        <w:t>本次招标采用国内公开招标、资格后审的方式，通过资格后审是投标</w:t>
      </w:r>
      <w:r>
        <w:rPr>
          <w:sz w:val="23"/>
          <w:szCs w:val="23"/>
        </w:rPr>
        <w:t>参与评审和中标的前提条件，投标人通过资格后审的条件详见招标公告。</w:t>
      </w:r>
    </w:p>
    <w:p>
      <w:pPr>
        <w:pStyle w:val="27"/>
        <w:numPr>
          <w:ilvl w:val="1"/>
          <w:numId w:val="0"/>
        </w:numPr>
        <w:tabs>
          <w:tab w:val="left" w:pos="1213"/>
        </w:tabs>
        <w:snapToGrid w:val="0"/>
        <w:spacing w:line="360" w:lineRule="auto"/>
        <w:ind w:firstLine="460" w:firstLineChars="200"/>
        <w:rPr>
          <w:sz w:val="23"/>
          <w:szCs w:val="23"/>
        </w:rPr>
      </w:pPr>
      <w:r>
        <w:rPr>
          <w:rFonts w:hint="eastAsia"/>
          <w:sz w:val="23"/>
          <w:szCs w:val="23"/>
          <w:lang w:val="en-US"/>
        </w:rPr>
        <w:t>2.2</w:t>
      </w:r>
      <w:r>
        <w:rPr>
          <w:sz w:val="23"/>
          <w:szCs w:val="23"/>
        </w:rPr>
        <w:t>单位负责人为同一人或者存在控股、管理关系的不同单位，不得参</w:t>
      </w:r>
      <w:r>
        <w:rPr>
          <w:spacing w:val="-1"/>
          <w:sz w:val="23"/>
          <w:szCs w:val="23"/>
        </w:rPr>
        <w:t>加同一标段投标或者未划分标段的同一招标项目投标，否则均按</w:t>
      </w:r>
      <w:r>
        <w:rPr>
          <w:rFonts w:hint="eastAsia"/>
          <w:spacing w:val="-1"/>
          <w:sz w:val="23"/>
          <w:szCs w:val="23"/>
        </w:rPr>
        <w:t>否决投标</w:t>
      </w:r>
      <w:r>
        <w:rPr>
          <w:spacing w:val="-1"/>
          <w:sz w:val="23"/>
          <w:szCs w:val="23"/>
        </w:rPr>
        <w:t>处理。</w:t>
      </w:r>
    </w:p>
    <w:p>
      <w:pPr>
        <w:snapToGrid w:val="0"/>
        <w:spacing w:line="360" w:lineRule="auto"/>
        <w:ind w:firstLine="460" w:firstLineChars="200"/>
        <w:rPr>
          <w:spacing w:val="-1"/>
          <w:sz w:val="23"/>
          <w:szCs w:val="23"/>
        </w:rPr>
      </w:pPr>
      <w:r>
        <w:rPr>
          <w:rFonts w:hint="eastAsia"/>
          <w:sz w:val="23"/>
          <w:szCs w:val="23"/>
        </w:rPr>
        <w:t>2</w:t>
      </w:r>
      <w:r>
        <w:rPr>
          <w:sz w:val="23"/>
          <w:szCs w:val="23"/>
        </w:rPr>
        <w:t>.3投标人</w:t>
      </w:r>
      <w:r>
        <w:rPr>
          <w:spacing w:val="-1"/>
          <w:sz w:val="23"/>
          <w:szCs w:val="23"/>
        </w:rPr>
        <w:t>中标后，应按投标文件中承诺的人员名单安排研究工作任务，在特殊情况下投标人可以同等资历的人员代替，但应事先得到业主的批准。</w:t>
      </w:r>
    </w:p>
    <w:p>
      <w:pPr>
        <w:snapToGrid w:val="0"/>
        <w:spacing w:line="360" w:lineRule="auto"/>
        <w:ind w:firstLine="460" w:firstLineChars="200"/>
        <w:rPr>
          <w:sz w:val="23"/>
          <w:szCs w:val="23"/>
        </w:rPr>
      </w:pPr>
      <w:r>
        <w:rPr>
          <w:rFonts w:hint="eastAsia"/>
          <w:sz w:val="23"/>
          <w:szCs w:val="23"/>
          <w:lang w:val="en-US"/>
        </w:rPr>
        <w:t>2.4</w:t>
      </w:r>
      <w:r>
        <w:rPr>
          <w:rFonts w:hint="eastAsia"/>
          <w:sz w:val="23"/>
          <w:szCs w:val="23"/>
        </w:rPr>
        <w:t>投标人资格条件：详见招标公告</w:t>
      </w:r>
    </w:p>
    <w:p>
      <w:pPr>
        <w:snapToGrid w:val="0"/>
        <w:spacing w:line="360" w:lineRule="auto"/>
        <w:ind w:firstLine="460" w:firstLineChars="200"/>
        <w:rPr>
          <w:sz w:val="23"/>
          <w:szCs w:val="23"/>
        </w:rPr>
      </w:pPr>
      <w:r>
        <w:rPr>
          <w:rFonts w:hint="eastAsia"/>
          <w:sz w:val="23"/>
          <w:szCs w:val="23"/>
        </w:rPr>
        <w:t>2.5本项目不允许分包，也不接受联合体投标。</w:t>
      </w:r>
    </w:p>
    <w:p>
      <w:pPr>
        <w:snapToGrid w:val="0"/>
        <w:spacing w:line="360" w:lineRule="auto"/>
        <w:ind w:firstLine="460" w:firstLineChars="200"/>
        <w:rPr>
          <w:sz w:val="23"/>
          <w:szCs w:val="23"/>
        </w:rPr>
      </w:pPr>
      <w:r>
        <w:rPr>
          <w:rFonts w:hint="eastAsia"/>
          <w:sz w:val="23"/>
          <w:szCs w:val="23"/>
        </w:rPr>
        <w:t xml:space="preserve">3、投标费用 </w:t>
      </w:r>
    </w:p>
    <w:p>
      <w:pPr>
        <w:pStyle w:val="6"/>
        <w:snapToGrid w:val="0"/>
        <w:spacing w:line="360" w:lineRule="auto"/>
        <w:ind w:left="0" w:firstLine="460" w:firstLineChars="200"/>
        <w:rPr>
          <w:rFonts w:ascii="宋体" w:hAnsi="宋体" w:eastAsia="宋体" w:cs="宋体"/>
          <w:b w:val="0"/>
          <w:bCs w:val="0"/>
          <w:sz w:val="23"/>
          <w:szCs w:val="23"/>
          <w:u w:val="none"/>
        </w:rPr>
      </w:pPr>
      <w:r>
        <w:rPr>
          <w:rFonts w:hint="eastAsia" w:ascii="宋体" w:hAnsi="宋体" w:eastAsia="宋体" w:cs="宋体"/>
          <w:b w:val="0"/>
          <w:bCs w:val="0"/>
          <w:sz w:val="23"/>
          <w:szCs w:val="23"/>
          <w:u w:val="none"/>
        </w:rPr>
        <w:t xml:space="preserve">3.1 投标人在投标过程中的一切费用，无论中标与否，均由投标人自行承担。 </w:t>
      </w:r>
    </w:p>
    <w:p>
      <w:pPr>
        <w:pStyle w:val="7"/>
        <w:snapToGrid w:val="0"/>
        <w:spacing w:line="360" w:lineRule="auto"/>
        <w:ind w:left="0" w:firstLine="460" w:firstLineChars="200"/>
        <w:rPr>
          <w:sz w:val="23"/>
          <w:szCs w:val="23"/>
        </w:rPr>
      </w:pPr>
      <w:r>
        <w:rPr>
          <w:rFonts w:hint="eastAsia"/>
          <w:sz w:val="23"/>
          <w:szCs w:val="23"/>
        </w:rPr>
        <w:t>4、现场考察</w:t>
      </w:r>
    </w:p>
    <w:p>
      <w:pPr>
        <w:pStyle w:val="27"/>
        <w:numPr>
          <w:ilvl w:val="1"/>
          <w:numId w:val="0"/>
        </w:numPr>
        <w:tabs>
          <w:tab w:val="left" w:pos="1005"/>
        </w:tabs>
        <w:snapToGrid w:val="0"/>
        <w:spacing w:line="360" w:lineRule="auto"/>
        <w:ind w:firstLine="460" w:firstLineChars="200"/>
        <w:rPr>
          <w:sz w:val="23"/>
          <w:szCs w:val="23"/>
        </w:rPr>
      </w:pPr>
      <w:r>
        <w:rPr>
          <w:rFonts w:hint="eastAsia"/>
          <w:sz w:val="23"/>
          <w:szCs w:val="23"/>
          <w:lang w:val="en-US"/>
        </w:rPr>
        <w:t>4.1</w:t>
      </w:r>
      <w:r>
        <w:rPr>
          <w:rFonts w:hint="eastAsia"/>
          <w:sz w:val="23"/>
          <w:szCs w:val="23"/>
        </w:rPr>
        <w:t xml:space="preserve">招标人将不统一组织投标人进行现场考察。 </w:t>
      </w:r>
    </w:p>
    <w:p>
      <w:pPr>
        <w:pStyle w:val="27"/>
        <w:numPr>
          <w:ilvl w:val="1"/>
          <w:numId w:val="0"/>
        </w:numPr>
        <w:tabs>
          <w:tab w:val="left" w:pos="1074"/>
        </w:tabs>
        <w:snapToGrid w:val="0"/>
        <w:spacing w:line="360" w:lineRule="auto"/>
        <w:ind w:firstLine="460" w:firstLineChars="200"/>
        <w:rPr>
          <w:sz w:val="23"/>
          <w:szCs w:val="23"/>
        </w:rPr>
      </w:pPr>
      <w:r>
        <w:rPr>
          <w:rFonts w:hint="eastAsia"/>
          <w:sz w:val="23"/>
          <w:szCs w:val="23"/>
          <w:lang w:val="en-US"/>
        </w:rPr>
        <w:t>4.2</w:t>
      </w:r>
      <w:r>
        <w:rPr>
          <w:rFonts w:hint="eastAsia"/>
          <w:sz w:val="23"/>
          <w:szCs w:val="23"/>
        </w:rPr>
        <w:t>在现场考察过程中，投标人如果发生人身伤亡、财物或其他损失，除国家法</w:t>
      </w:r>
      <w:r>
        <w:rPr>
          <w:sz w:val="23"/>
          <w:szCs w:val="23"/>
        </w:rPr>
        <w:t>律、法规有规定的之外，招标人均不负责。</w:t>
      </w:r>
    </w:p>
    <w:p>
      <w:pPr>
        <w:pStyle w:val="27"/>
        <w:numPr>
          <w:ilvl w:val="1"/>
          <w:numId w:val="0"/>
        </w:numPr>
        <w:tabs>
          <w:tab w:val="left" w:pos="1074"/>
        </w:tabs>
        <w:snapToGrid w:val="0"/>
        <w:spacing w:line="360" w:lineRule="auto"/>
        <w:ind w:firstLine="456" w:firstLineChars="200"/>
        <w:rPr>
          <w:sz w:val="23"/>
          <w:szCs w:val="23"/>
        </w:rPr>
      </w:pPr>
      <w:r>
        <w:rPr>
          <w:rFonts w:hint="eastAsia"/>
          <w:spacing w:val="-1"/>
          <w:sz w:val="23"/>
          <w:szCs w:val="23"/>
          <w:lang w:val="en-US"/>
        </w:rPr>
        <w:t>4.3</w:t>
      </w:r>
      <w:r>
        <w:rPr>
          <w:spacing w:val="-1"/>
          <w:sz w:val="23"/>
          <w:szCs w:val="23"/>
        </w:rPr>
        <w:t>由招标人提供的资料和数据，仅供投标人参考，招标人和招标代理对</w:t>
      </w:r>
      <w:r>
        <w:rPr>
          <w:sz w:val="23"/>
          <w:szCs w:val="23"/>
        </w:rPr>
        <w:t>投标人由此做出的推论、解释和结论概不负责。</w:t>
      </w:r>
    </w:p>
    <w:p>
      <w:pPr>
        <w:snapToGrid w:val="0"/>
        <w:spacing w:line="360" w:lineRule="auto"/>
        <w:ind w:firstLine="460" w:firstLineChars="200"/>
        <w:rPr>
          <w:sz w:val="23"/>
          <w:szCs w:val="23"/>
        </w:rPr>
      </w:pPr>
      <w:r>
        <w:rPr>
          <w:sz w:val="23"/>
          <w:szCs w:val="23"/>
        </w:rPr>
        <w:t>5、标前会议</w:t>
      </w:r>
    </w:p>
    <w:p>
      <w:pPr>
        <w:snapToGrid w:val="0"/>
        <w:spacing w:line="360" w:lineRule="auto"/>
        <w:ind w:firstLine="460" w:firstLineChars="200"/>
        <w:rPr>
          <w:sz w:val="23"/>
          <w:szCs w:val="23"/>
        </w:rPr>
      </w:pPr>
      <w:r>
        <w:rPr>
          <w:sz w:val="23"/>
          <w:szCs w:val="23"/>
        </w:rPr>
        <w:t xml:space="preserve">5.1 </w:t>
      </w:r>
      <w:r>
        <w:rPr>
          <w:rFonts w:hint="eastAsia"/>
          <w:sz w:val="23"/>
          <w:szCs w:val="23"/>
        </w:rPr>
        <w:t>招标人将不统一组织标前会议。</w:t>
      </w:r>
    </w:p>
    <w:p>
      <w:pPr>
        <w:pStyle w:val="7"/>
        <w:snapToGrid w:val="0"/>
        <w:spacing w:line="360" w:lineRule="auto"/>
        <w:ind w:left="0" w:firstLine="460" w:firstLineChars="200"/>
        <w:jc w:val="center"/>
        <w:rPr>
          <w:sz w:val="23"/>
          <w:szCs w:val="23"/>
        </w:rPr>
      </w:pPr>
      <w:r>
        <w:rPr>
          <w:sz w:val="23"/>
          <w:szCs w:val="23"/>
        </w:rPr>
        <w:t>B、招标文件</w:t>
      </w:r>
    </w:p>
    <w:p>
      <w:pPr>
        <w:snapToGrid w:val="0"/>
        <w:spacing w:line="360" w:lineRule="auto"/>
        <w:ind w:firstLine="460" w:firstLineChars="200"/>
        <w:rPr>
          <w:sz w:val="23"/>
          <w:szCs w:val="23"/>
        </w:rPr>
      </w:pPr>
      <w:r>
        <w:rPr>
          <w:sz w:val="23"/>
          <w:szCs w:val="23"/>
        </w:rPr>
        <w:t>6、招标文件的内容</w:t>
      </w:r>
    </w:p>
    <w:p>
      <w:pPr>
        <w:snapToGrid w:val="0"/>
        <w:spacing w:line="360" w:lineRule="auto"/>
        <w:ind w:firstLine="452" w:firstLineChars="200"/>
        <w:rPr>
          <w:sz w:val="23"/>
          <w:szCs w:val="23"/>
        </w:rPr>
      </w:pPr>
      <w:r>
        <w:rPr>
          <w:spacing w:val="-2"/>
          <w:sz w:val="23"/>
          <w:szCs w:val="23"/>
        </w:rPr>
        <w:t>本项目招标文件由下列文件</w:t>
      </w:r>
      <w:r>
        <w:rPr>
          <w:sz w:val="23"/>
          <w:szCs w:val="23"/>
        </w:rPr>
        <w:t>组成：</w:t>
      </w:r>
    </w:p>
    <w:p>
      <w:pPr>
        <w:snapToGrid w:val="0"/>
        <w:spacing w:line="360" w:lineRule="auto"/>
        <w:ind w:firstLine="460" w:firstLineChars="200"/>
        <w:rPr>
          <w:sz w:val="23"/>
          <w:szCs w:val="23"/>
        </w:rPr>
      </w:pPr>
      <w:r>
        <w:rPr>
          <w:sz w:val="23"/>
          <w:szCs w:val="23"/>
        </w:rPr>
        <w:t>第一章招标公告</w:t>
      </w:r>
    </w:p>
    <w:p>
      <w:pPr>
        <w:snapToGrid w:val="0"/>
        <w:spacing w:line="360" w:lineRule="auto"/>
        <w:ind w:firstLine="460" w:firstLineChars="200"/>
        <w:rPr>
          <w:sz w:val="23"/>
          <w:szCs w:val="23"/>
        </w:rPr>
      </w:pPr>
      <w:r>
        <w:rPr>
          <w:sz w:val="23"/>
          <w:szCs w:val="23"/>
        </w:rPr>
        <w:t>第二章投标人须知</w:t>
      </w:r>
    </w:p>
    <w:p>
      <w:pPr>
        <w:snapToGrid w:val="0"/>
        <w:spacing w:line="360" w:lineRule="auto"/>
        <w:ind w:firstLine="460" w:firstLineChars="200"/>
        <w:rPr>
          <w:sz w:val="23"/>
          <w:szCs w:val="23"/>
        </w:rPr>
      </w:pPr>
      <w:r>
        <w:rPr>
          <w:sz w:val="23"/>
          <w:szCs w:val="23"/>
        </w:rPr>
        <w:t>第三章评标办法</w:t>
      </w:r>
    </w:p>
    <w:p>
      <w:pPr>
        <w:snapToGrid w:val="0"/>
        <w:spacing w:line="360" w:lineRule="auto"/>
        <w:ind w:firstLine="460" w:firstLineChars="200"/>
        <w:rPr>
          <w:sz w:val="23"/>
          <w:szCs w:val="23"/>
        </w:rPr>
      </w:pPr>
      <w:r>
        <w:rPr>
          <w:sz w:val="23"/>
          <w:szCs w:val="23"/>
        </w:rPr>
        <w:t>第四章合同条款</w:t>
      </w:r>
    </w:p>
    <w:p>
      <w:pPr>
        <w:snapToGrid w:val="0"/>
        <w:spacing w:line="360" w:lineRule="auto"/>
        <w:ind w:firstLine="460" w:firstLineChars="200"/>
        <w:rPr>
          <w:sz w:val="23"/>
          <w:szCs w:val="23"/>
        </w:rPr>
      </w:pPr>
      <w:r>
        <w:rPr>
          <w:sz w:val="23"/>
          <w:szCs w:val="23"/>
        </w:rPr>
        <w:t>第五章项目标准及需求</w:t>
      </w:r>
    </w:p>
    <w:p>
      <w:pPr>
        <w:snapToGrid w:val="0"/>
        <w:spacing w:line="360" w:lineRule="auto"/>
        <w:ind w:firstLine="460" w:firstLineChars="200"/>
        <w:rPr>
          <w:sz w:val="23"/>
          <w:szCs w:val="23"/>
        </w:rPr>
      </w:pPr>
      <w:r>
        <w:rPr>
          <w:sz w:val="23"/>
          <w:szCs w:val="23"/>
        </w:rPr>
        <w:t>第六章投标文件格式</w:t>
      </w:r>
    </w:p>
    <w:p>
      <w:pPr>
        <w:snapToGrid w:val="0"/>
        <w:spacing w:line="360" w:lineRule="auto"/>
        <w:ind w:firstLine="460" w:firstLineChars="200"/>
        <w:rPr>
          <w:sz w:val="23"/>
          <w:szCs w:val="23"/>
        </w:rPr>
      </w:pPr>
      <w:r>
        <w:rPr>
          <w:sz w:val="23"/>
          <w:szCs w:val="23"/>
        </w:rPr>
        <w:t>招标人在招标期间发出的所有有编号的补遗书以及其它正式有效函件，均是招标文件的组成部分。</w:t>
      </w:r>
    </w:p>
    <w:p>
      <w:pPr>
        <w:pStyle w:val="27"/>
        <w:numPr>
          <w:ilvl w:val="1"/>
          <w:numId w:val="0"/>
        </w:numPr>
        <w:tabs>
          <w:tab w:val="left" w:pos="1074"/>
        </w:tabs>
        <w:snapToGrid w:val="0"/>
        <w:spacing w:line="360" w:lineRule="auto"/>
        <w:ind w:firstLine="456" w:firstLineChars="200"/>
        <w:rPr>
          <w:sz w:val="23"/>
          <w:szCs w:val="23"/>
        </w:rPr>
      </w:pPr>
      <w:r>
        <w:rPr>
          <w:rFonts w:hint="eastAsia"/>
          <w:spacing w:val="-1"/>
          <w:sz w:val="23"/>
          <w:szCs w:val="23"/>
          <w:lang w:val="en-US"/>
        </w:rPr>
        <w:t>6.1</w:t>
      </w:r>
      <w:r>
        <w:rPr>
          <w:spacing w:val="-1"/>
          <w:sz w:val="23"/>
          <w:szCs w:val="23"/>
        </w:rPr>
        <w:t>投标人应认真阅读招标文件中所有条款、格式、规范和清单，并按招</w:t>
      </w:r>
      <w:r>
        <w:rPr>
          <w:sz w:val="23"/>
          <w:szCs w:val="23"/>
        </w:rPr>
        <w:t>标文件的规定与要求编写投标文件。如果投标文件与招标文件的规定和要求不符合，则投标人应自行负责。凡与招标文件的规定有重大偏离或保留的投标文件，其投标将被拒绝。</w:t>
      </w:r>
    </w:p>
    <w:p>
      <w:pPr>
        <w:pStyle w:val="27"/>
        <w:numPr>
          <w:ilvl w:val="1"/>
          <w:numId w:val="0"/>
        </w:numPr>
        <w:tabs>
          <w:tab w:val="left" w:pos="1074"/>
        </w:tabs>
        <w:snapToGrid w:val="0"/>
        <w:spacing w:line="360" w:lineRule="auto"/>
        <w:ind w:firstLine="456" w:firstLineChars="200"/>
        <w:rPr>
          <w:sz w:val="23"/>
          <w:szCs w:val="23"/>
        </w:rPr>
      </w:pPr>
      <w:r>
        <w:rPr>
          <w:rFonts w:hint="eastAsia"/>
          <w:spacing w:val="-1"/>
          <w:sz w:val="23"/>
          <w:szCs w:val="23"/>
          <w:lang w:val="en-US"/>
        </w:rPr>
        <w:t>6.2</w:t>
      </w:r>
      <w:r>
        <w:rPr>
          <w:spacing w:val="-1"/>
          <w:sz w:val="23"/>
          <w:szCs w:val="23"/>
        </w:rPr>
        <w:t>无论是否提交投标文件，投标人都不应扩散招标文件的内容。</w:t>
      </w:r>
    </w:p>
    <w:p>
      <w:pPr>
        <w:pStyle w:val="27"/>
        <w:tabs>
          <w:tab w:val="left" w:pos="1074"/>
        </w:tabs>
        <w:snapToGrid w:val="0"/>
        <w:spacing w:line="360" w:lineRule="auto"/>
        <w:ind w:left="0" w:firstLine="460" w:firstLineChars="200"/>
        <w:rPr>
          <w:sz w:val="23"/>
          <w:szCs w:val="23"/>
        </w:rPr>
      </w:pPr>
      <w:r>
        <w:rPr>
          <w:sz w:val="23"/>
          <w:szCs w:val="23"/>
        </w:rPr>
        <w:t>7、招标文件的澄清和解答</w:t>
      </w:r>
    </w:p>
    <w:p>
      <w:pPr>
        <w:snapToGrid w:val="0"/>
        <w:spacing w:line="360" w:lineRule="auto"/>
        <w:ind w:firstLine="460" w:firstLineChars="200"/>
        <w:rPr>
          <w:sz w:val="23"/>
          <w:szCs w:val="23"/>
        </w:rPr>
      </w:pPr>
      <w:r>
        <w:rPr>
          <w:sz w:val="23"/>
          <w:szCs w:val="23"/>
        </w:rPr>
        <w:t>7.1</w:t>
      </w:r>
      <w:r>
        <w:rPr>
          <w:spacing w:val="-9"/>
          <w:sz w:val="23"/>
          <w:szCs w:val="23"/>
        </w:rPr>
        <w:t>要求澄清招标文件的投标人应以书面</w:t>
      </w:r>
      <w:r>
        <w:rPr>
          <w:sz w:val="23"/>
          <w:szCs w:val="23"/>
        </w:rPr>
        <w:t>（含传真）的方式在投标截止期16</w:t>
      </w:r>
      <w:r>
        <w:rPr>
          <w:spacing w:val="-12"/>
          <w:sz w:val="23"/>
          <w:szCs w:val="23"/>
        </w:rPr>
        <w:t>天以前通知招标人。招标人将在投标截止时间</w:t>
      </w:r>
      <w:r>
        <w:rPr>
          <w:rFonts w:hint="eastAsia"/>
          <w:sz w:val="23"/>
          <w:szCs w:val="23"/>
        </w:rPr>
        <w:t>3</w:t>
      </w:r>
      <w:r>
        <w:rPr>
          <w:spacing w:val="-10"/>
          <w:sz w:val="23"/>
          <w:szCs w:val="23"/>
        </w:rPr>
        <w:t>天以前，以有编号的补遗</w:t>
      </w:r>
      <w:r>
        <w:rPr>
          <w:sz w:val="23"/>
          <w:szCs w:val="23"/>
        </w:rPr>
        <w:t>书方式书面（含传真）答复（包括对询问的解释，但不说明询问的来源</w:t>
      </w:r>
      <w:r>
        <w:rPr>
          <w:spacing w:val="-140"/>
          <w:sz w:val="23"/>
          <w:szCs w:val="23"/>
        </w:rPr>
        <w:t>）</w:t>
      </w:r>
      <w:r>
        <w:rPr>
          <w:sz w:val="23"/>
          <w:szCs w:val="23"/>
        </w:rPr>
        <w:t>。招标人的答复将发给所有投标人。投标人在收到书面答复后，应</w:t>
      </w:r>
      <w:r>
        <w:rPr>
          <w:rFonts w:hint="eastAsia"/>
          <w:sz w:val="23"/>
          <w:szCs w:val="23"/>
        </w:rPr>
        <w:t>及时以书面</w:t>
      </w:r>
      <w:r>
        <w:rPr>
          <w:sz w:val="23"/>
          <w:szCs w:val="23"/>
        </w:rPr>
        <w:t>方式通知招标代理，确认已收到该书面答复。</w:t>
      </w:r>
    </w:p>
    <w:p>
      <w:pPr>
        <w:snapToGrid w:val="0"/>
        <w:spacing w:line="360" w:lineRule="auto"/>
        <w:ind w:firstLine="460" w:firstLineChars="200"/>
        <w:rPr>
          <w:sz w:val="23"/>
          <w:szCs w:val="23"/>
        </w:rPr>
      </w:pPr>
      <w:r>
        <w:rPr>
          <w:sz w:val="23"/>
          <w:szCs w:val="23"/>
        </w:rPr>
        <w:t>8、招标文件的修改</w:t>
      </w:r>
    </w:p>
    <w:p>
      <w:pPr>
        <w:pStyle w:val="27"/>
        <w:numPr>
          <w:ilvl w:val="1"/>
          <w:numId w:val="2"/>
        </w:numPr>
        <w:tabs>
          <w:tab w:val="left" w:pos="1074"/>
        </w:tabs>
        <w:snapToGrid w:val="0"/>
        <w:spacing w:line="360" w:lineRule="auto"/>
        <w:ind w:left="0" w:firstLine="420" w:firstLineChars="200"/>
        <w:rPr>
          <w:sz w:val="23"/>
          <w:szCs w:val="23"/>
        </w:rPr>
      </w:pPr>
      <w:r>
        <w:rPr>
          <w:spacing w:val="-10"/>
          <w:sz w:val="23"/>
          <w:szCs w:val="23"/>
        </w:rPr>
        <w:t>在投标截止期</w:t>
      </w:r>
      <w:r>
        <w:rPr>
          <w:rFonts w:hint="eastAsia"/>
          <w:sz w:val="23"/>
          <w:szCs w:val="23"/>
        </w:rPr>
        <w:t>3</w:t>
      </w:r>
      <w:r>
        <w:rPr>
          <w:spacing w:val="-9"/>
          <w:sz w:val="23"/>
          <w:szCs w:val="23"/>
        </w:rPr>
        <w:t>天以前，招标人可能会因任何原因，对招标文件进</w:t>
      </w:r>
      <w:r>
        <w:rPr>
          <w:spacing w:val="-10"/>
          <w:sz w:val="23"/>
          <w:szCs w:val="23"/>
        </w:rPr>
        <w:t>行修改，并以补遗书形式发给所有购买招标文件的投标人，投标人收到书面</w:t>
      </w:r>
      <w:r>
        <w:rPr>
          <w:sz w:val="23"/>
          <w:szCs w:val="23"/>
        </w:rPr>
        <w:t>材料后，应立即以传真形式通知招标人，确认已收到该补遗书。</w:t>
      </w:r>
      <w:r>
        <w:rPr>
          <w:spacing w:val="-10"/>
          <w:sz w:val="23"/>
          <w:szCs w:val="23"/>
        </w:rPr>
        <w:t>为了给投标人合理的时间，使其在编制投标文件时把补遗书的内容考虑进去，招标人可按照本须知第 17 条的规定，酌情延长递交投标文件的截止时间。</w:t>
      </w:r>
    </w:p>
    <w:p>
      <w:pPr>
        <w:snapToGrid w:val="0"/>
        <w:spacing w:line="360" w:lineRule="auto"/>
        <w:ind w:firstLine="460" w:firstLineChars="200"/>
        <w:jc w:val="center"/>
        <w:rPr>
          <w:sz w:val="23"/>
          <w:szCs w:val="23"/>
        </w:rPr>
      </w:pPr>
      <w:r>
        <w:rPr>
          <w:sz w:val="23"/>
          <w:szCs w:val="23"/>
        </w:rPr>
        <w:t>C、投标文件的编制</w:t>
      </w:r>
    </w:p>
    <w:p>
      <w:pPr>
        <w:snapToGrid w:val="0"/>
        <w:spacing w:line="360" w:lineRule="auto"/>
        <w:ind w:firstLine="460" w:firstLineChars="200"/>
        <w:rPr>
          <w:sz w:val="23"/>
          <w:szCs w:val="23"/>
        </w:rPr>
      </w:pPr>
      <w:r>
        <w:rPr>
          <w:sz w:val="23"/>
          <w:szCs w:val="23"/>
        </w:rPr>
        <w:t>9、投标文件的语言</w:t>
      </w:r>
    </w:p>
    <w:p>
      <w:pPr>
        <w:pStyle w:val="27"/>
        <w:tabs>
          <w:tab w:val="left" w:pos="1074"/>
        </w:tabs>
        <w:snapToGrid w:val="0"/>
        <w:spacing w:line="360" w:lineRule="auto"/>
        <w:ind w:left="460" w:firstLine="0"/>
        <w:rPr>
          <w:spacing w:val="-10"/>
          <w:sz w:val="23"/>
          <w:szCs w:val="23"/>
        </w:rPr>
      </w:pPr>
      <w:r>
        <w:rPr>
          <w:sz w:val="23"/>
          <w:szCs w:val="23"/>
        </w:rPr>
        <w:t>9.1投标</w:t>
      </w:r>
      <w:r>
        <w:rPr>
          <w:spacing w:val="-10"/>
          <w:sz w:val="23"/>
          <w:szCs w:val="23"/>
        </w:rPr>
        <w:t>文件及投标人与招标人之间的来往信函、文件均使用中文。</w:t>
      </w:r>
    </w:p>
    <w:p>
      <w:pPr>
        <w:snapToGrid w:val="0"/>
        <w:spacing w:line="360" w:lineRule="auto"/>
        <w:ind w:firstLine="460" w:firstLineChars="200"/>
        <w:rPr>
          <w:sz w:val="23"/>
          <w:szCs w:val="23"/>
        </w:rPr>
      </w:pPr>
      <w:r>
        <w:rPr>
          <w:sz w:val="23"/>
          <w:szCs w:val="23"/>
        </w:rPr>
        <w:t>10、投标文件的组成</w:t>
      </w:r>
    </w:p>
    <w:p>
      <w:pPr>
        <w:pStyle w:val="27"/>
        <w:numPr>
          <w:ilvl w:val="1"/>
          <w:numId w:val="3"/>
        </w:numPr>
        <w:tabs>
          <w:tab w:val="left" w:pos="1214"/>
        </w:tabs>
        <w:snapToGrid w:val="0"/>
        <w:spacing w:line="360" w:lineRule="auto"/>
        <w:ind w:left="0" w:firstLine="460" w:firstLineChars="200"/>
        <w:jc w:val="left"/>
        <w:rPr>
          <w:sz w:val="23"/>
          <w:szCs w:val="23"/>
        </w:rPr>
      </w:pPr>
      <w:r>
        <w:rPr>
          <w:sz w:val="23"/>
          <w:szCs w:val="23"/>
        </w:rPr>
        <w:t>投标人应在投标文件中提出为满足本项目</w:t>
      </w:r>
      <w:r>
        <w:rPr>
          <w:rFonts w:hint="eastAsia"/>
          <w:sz w:val="23"/>
          <w:szCs w:val="23"/>
        </w:rPr>
        <w:t>招标文件的规定。</w:t>
      </w:r>
    </w:p>
    <w:p>
      <w:pPr>
        <w:pStyle w:val="27"/>
        <w:tabs>
          <w:tab w:val="left" w:pos="1214"/>
        </w:tabs>
        <w:snapToGrid w:val="0"/>
        <w:spacing w:line="360" w:lineRule="auto"/>
        <w:ind w:left="460" w:firstLine="0"/>
        <w:rPr>
          <w:sz w:val="23"/>
          <w:szCs w:val="23"/>
        </w:rPr>
      </w:pPr>
      <w:r>
        <w:rPr>
          <w:rFonts w:hint="eastAsia"/>
          <w:sz w:val="23"/>
          <w:szCs w:val="23"/>
        </w:rPr>
        <w:t>本项目为双信封投标。</w:t>
      </w:r>
    </w:p>
    <w:p>
      <w:pPr>
        <w:snapToGrid w:val="0"/>
        <w:spacing w:line="360" w:lineRule="auto"/>
        <w:ind w:firstLine="460" w:firstLineChars="200"/>
        <w:rPr>
          <w:sz w:val="23"/>
          <w:szCs w:val="23"/>
        </w:rPr>
      </w:pPr>
      <w:r>
        <w:rPr>
          <w:sz w:val="23"/>
          <w:szCs w:val="23"/>
        </w:rPr>
        <w:t>投标人编写的投标文件，应包括下列各项：</w:t>
      </w:r>
    </w:p>
    <w:p>
      <w:pPr>
        <w:snapToGrid w:val="0"/>
        <w:spacing w:line="360" w:lineRule="auto"/>
        <w:ind w:firstLine="460" w:firstLineChars="200"/>
        <w:rPr>
          <w:sz w:val="23"/>
          <w:szCs w:val="23"/>
        </w:rPr>
      </w:pPr>
      <w:r>
        <w:rPr>
          <w:rFonts w:hint="eastAsia"/>
          <w:sz w:val="23"/>
          <w:szCs w:val="23"/>
        </w:rPr>
        <w:t>第一信封：</w:t>
      </w:r>
    </w:p>
    <w:p>
      <w:pPr>
        <w:snapToGrid w:val="0"/>
        <w:spacing w:line="360" w:lineRule="auto"/>
        <w:ind w:firstLine="460" w:firstLineChars="200"/>
        <w:rPr>
          <w:sz w:val="23"/>
          <w:szCs w:val="23"/>
        </w:rPr>
      </w:pPr>
      <w:r>
        <w:rPr>
          <w:sz w:val="23"/>
          <w:szCs w:val="23"/>
        </w:rPr>
        <w:t>一</w:t>
      </w:r>
      <w:r>
        <w:rPr>
          <w:rFonts w:hint="eastAsia"/>
          <w:sz w:val="23"/>
          <w:szCs w:val="23"/>
        </w:rPr>
        <w:t>、</w:t>
      </w:r>
      <w:r>
        <w:rPr>
          <w:sz w:val="23"/>
          <w:szCs w:val="23"/>
        </w:rPr>
        <w:t>投标函</w:t>
      </w:r>
    </w:p>
    <w:p>
      <w:pPr>
        <w:snapToGrid w:val="0"/>
        <w:spacing w:line="360" w:lineRule="auto"/>
        <w:ind w:firstLine="460" w:firstLineChars="200"/>
        <w:rPr>
          <w:sz w:val="23"/>
          <w:szCs w:val="23"/>
        </w:rPr>
      </w:pPr>
      <w:r>
        <w:rPr>
          <w:sz w:val="23"/>
          <w:szCs w:val="23"/>
        </w:rPr>
        <w:t>二</w:t>
      </w:r>
      <w:r>
        <w:rPr>
          <w:rFonts w:hint="eastAsia"/>
          <w:sz w:val="23"/>
          <w:szCs w:val="23"/>
        </w:rPr>
        <w:t>、</w:t>
      </w:r>
      <w:r>
        <w:rPr>
          <w:sz w:val="23"/>
          <w:szCs w:val="23"/>
        </w:rPr>
        <w:t>法定代表人身份证明及授权委托书</w:t>
      </w:r>
    </w:p>
    <w:p>
      <w:pPr>
        <w:snapToGrid w:val="0"/>
        <w:spacing w:line="360" w:lineRule="auto"/>
        <w:ind w:firstLine="460" w:firstLineChars="200"/>
        <w:rPr>
          <w:sz w:val="23"/>
          <w:szCs w:val="23"/>
        </w:rPr>
      </w:pPr>
      <w:r>
        <w:rPr>
          <w:sz w:val="23"/>
          <w:szCs w:val="23"/>
        </w:rPr>
        <w:t>三</w:t>
      </w:r>
      <w:r>
        <w:rPr>
          <w:rFonts w:hint="eastAsia"/>
          <w:sz w:val="23"/>
          <w:szCs w:val="23"/>
        </w:rPr>
        <w:t>、</w:t>
      </w:r>
      <w:r>
        <w:rPr>
          <w:sz w:val="23"/>
          <w:szCs w:val="23"/>
        </w:rPr>
        <w:t>投标担保</w:t>
      </w:r>
    </w:p>
    <w:p>
      <w:pPr>
        <w:snapToGrid w:val="0"/>
        <w:spacing w:line="360" w:lineRule="auto"/>
        <w:ind w:firstLine="460" w:firstLineChars="200"/>
        <w:rPr>
          <w:sz w:val="23"/>
          <w:szCs w:val="23"/>
        </w:rPr>
      </w:pPr>
      <w:r>
        <w:rPr>
          <w:sz w:val="23"/>
          <w:szCs w:val="23"/>
        </w:rPr>
        <w:t>四</w:t>
      </w:r>
      <w:r>
        <w:rPr>
          <w:rFonts w:hint="eastAsia"/>
          <w:sz w:val="23"/>
          <w:szCs w:val="23"/>
        </w:rPr>
        <w:t>、</w:t>
      </w:r>
      <w:r>
        <w:rPr>
          <w:sz w:val="23"/>
          <w:szCs w:val="23"/>
        </w:rPr>
        <w:t>投标人资格审查资料</w:t>
      </w:r>
    </w:p>
    <w:p>
      <w:pPr>
        <w:snapToGrid w:val="0"/>
        <w:spacing w:line="360" w:lineRule="auto"/>
        <w:ind w:firstLine="460" w:firstLineChars="200"/>
        <w:rPr>
          <w:sz w:val="23"/>
          <w:szCs w:val="23"/>
        </w:rPr>
      </w:pPr>
      <w:r>
        <w:rPr>
          <w:sz w:val="23"/>
          <w:szCs w:val="23"/>
        </w:rPr>
        <w:t>五</w:t>
      </w:r>
      <w:r>
        <w:rPr>
          <w:rFonts w:hint="eastAsia"/>
          <w:sz w:val="23"/>
          <w:szCs w:val="23"/>
        </w:rPr>
        <w:t xml:space="preserve">、工作大纲 </w:t>
      </w:r>
    </w:p>
    <w:p>
      <w:pPr>
        <w:snapToGrid w:val="0"/>
        <w:spacing w:line="360" w:lineRule="auto"/>
        <w:ind w:firstLine="460" w:firstLineChars="200"/>
        <w:rPr>
          <w:sz w:val="23"/>
          <w:szCs w:val="23"/>
        </w:rPr>
      </w:pPr>
      <w:r>
        <w:rPr>
          <w:sz w:val="23"/>
          <w:szCs w:val="23"/>
        </w:rPr>
        <w:t>六</w:t>
      </w:r>
      <w:r>
        <w:rPr>
          <w:rFonts w:hint="eastAsia"/>
          <w:sz w:val="23"/>
          <w:szCs w:val="23"/>
        </w:rPr>
        <w:t>、</w:t>
      </w:r>
      <w:r>
        <w:rPr>
          <w:sz w:val="23"/>
          <w:szCs w:val="23"/>
        </w:rPr>
        <w:t>服务承诺及合理化建议</w:t>
      </w:r>
    </w:p>
    <w:p>
      <w:pPr>
        <w:snapToGrid w:val="0"/>
        <w:spacing w:line="360" w:lineRule="auto"/>
        <w:ind w:firstLine="460" w:firstLineChars="200"/>
        <w:rPr>
          <w:sz w:val="23"/>
          <w:szCs w:val="23"/>
        </w:rPr>
      </w:pPr>
      <w:r>
        <w:rPr>
          <w:rFonts w:hint="eastAsia"/>
          <w:sz w:val="23"/>
          <w:szCs w:val="23"/>
        </w:rPr>
        <w:t>第</w:t>
      </w:r>
      <w:r>
        <w:rPr>
          <w:rFonts w:hint="eastAsia"/>
          <w:sz w:val="23"/>
          <w:szCs w:val="23"/>
          <w:lang w:val="en-US"/>
        </w:rPr>
        <w:t>二</w:t>
      </w:r>
      <w:r>
        <w:rPr>
          <w:rFonts w:hint="eastAsia"/>
          <w:sz w:val="23"/>
          <w:szCs w:val="23"/>
        </w:rPr>
        <w:t>信封：</w:t>
      </w:r>
    </w:p>
    <w:p>
      <w:pPr>
        <w:snapToGrid w:val="0"/>
        <w:spacing w:line="360" w:lineRule="auto"/>
        <w:ind w:firstLine="460" w:firstLineChars="200"/>
        <w:rPr>
          <w:sz w:val="23"/>
          <w:szCs w:val="23"/>
        </w:rPr>
      </w:pPr>
      <w:r>
        <w:rPr>
          <w:sz w:val="23"/>
          <w:szCs w:val="23"/>
        </w:rPr>
        <w:t>一</w:t>
      </w:r>
      <w:r>
        <w:rPr>
          <w:rFonts w:hint="eastAsia"/>
          <w:sz w:val="23"/>
          <w:szCs w:val="23"/>
        </w:rPr>
        <w:t>、</w:t>
      </w:r>
      <w:r>
        <w:rPr>
          <w:sz w:val="23"/>
          <w:szCs w:val="23"/>
        </w:rPr>
        <w:t>投标函</w:t>
      </w:r>
    </w:p>
    <w:p>
      <w:pPr>
        <w:snapToGrid w:val="0"/>
        <w:spacing w:line="360" w:lineRule="auto"/>
        <w:ind w:firstLine="460" w:firstLineChars="200"/>
        <w:rPr>
          <w:sz w:val="23"/>
          <w:szCs w:val="23"/>
        </w:rPr>
      </w:pPr>
      <w:r>
        <w:rPr>
          <w:rFonts w:hint="eastAsia"/>
          <w:sz w:val="23"/>
          <w:szCs w:val="23"/>
        </w:rPr>
        <w:t>二、</w:t>
      </w:r>
      <w:r>
        <w:rPr>
          <w:sz w:val="23"/>
          <w:szCs w:val="23"/>
        </w:rPr>
        <w:t>报价清单</w:t>
      </w:r>
    </w:p>
    <w:p>
      <w:pPr>
        <w:pStyle w:val="27"/>
        <w:numPr>
          <w:ilvl w:val="1"/>
          <w:numId w:val="3"/>
        </w:numPr>
        <w:tabs>
          <w:tab w:val="left" w:pos="1145"/>
        </w:tabs>
        <w:snapToGrid w:val="0"/>
        <w:spacing w:line="360" w:lineRule="auto"/>
        <w:ind w:left="0" w:firstLine="456" w:firstLineChars="200"/>
        <w:jc w:val="left"/>
        <w:rPr>
          <w:sz w:val="23"/>
          <w:szCs w:val="23"/>
        </w:rPr>
      </w:pPr>
      <w:r>
        <w:rPr>
          <w:spacing w:val="-1"/>
          <w:sz w:val="23"/>
          <w:szCs w:val="23"/>
        </w:rPr>
        <w:t>投标人必须毫无例外地使用招标文件提供的格式和表格，但可以按同样格式扩展。</w:t>
      </w:r>
    </w:p>
    <w:p>
      <w:pPr>
        <w:pStyle w:val="27"/>
        <w:numPr>
          <w:ilvl w:val="1"/>
          <w:numId w:val="3"/>
        </w:numPr>
        <w:tabs>
          <w:tab w:val="left" w:pos="1145"/>
        </w:tabs>
        <w:snapToGrid w:val="0"/>
        <w:spacing w:line="360" w:lineRule="auto"/>
        <w:ind w:left="0" w:firstLine="456" w:firstLineChars="200"/>
        <w:jc w:val="left"/>
        <w:rPr>
          <w:sz w:val="23"/>
          <w:szCs w:val="23"/>
        </w:rPr>
      </w:pPr>
      <w:r>
        <w:rPr>
          <w:spacing w:val="-1"/>
          <w:sz w:val="23"/>
          <w:szCs w:val="23"/>
        </w:rPr>
        <w:t>必要时投标人应在中标后按照业主的指示修改或补充在投标文件中</w:t>
      </w:r>
      <w:r>
        <w:rPr>
          <w:sz w:val="23"/>
          <w:szCs w:val="23"/>
        </w:rPr>
        <w:t>制订的计划。</w:t>
      </w:r>
    </w:p>
    <w:p>
      <w:pPr>
        <w:pStyle w:val="27"/>
        <w:numPr>
          <w:ilvl w:val="1"/>
          <w:numId w:val="3"/>
        </w:numPr>
        <w:tabs>
          <w:tab w:val="left" w:pos="1145"/>
        </w:tabs>
        <w:snapToGrid w:val="0"/>
        <w:spacing w:line="360" w:lineRule="auto"/>
        <w:ind w:left="0" w:firstLine="462" w:firstLineChars="200"/>
        <w:jc w:val="left"/>
        <w:rPr>
          <w:sz w:val="23"/>
          <w:szCs w:val="23"/>
        </w:rPr>
      </w:pPr>
      <w:r>
        <w:rPr>
          <w:rFonts w:hint="eastAsia"/>
          <w:b/>
          <w:bCs/>
          <w:sz w:val="23"/>
          <w:szCs w:val="23"/>
        </w:rPr>
        <w:t>投标文件共5份（1正4副）</w:t>
      </w:r>
      <w:r>
        <w:rPr>
          <w:rFonts w:hint="eastAsia"/>
          <w:sz w:val="23"/>
          <w:szCs w:val="23"/>
        </w:rPr>
        <w:t>，副本可为正本的复印件。采用A4图幅。</w:t>
      </w:r>
    </w:p>
    <w:p>
      <w:pPr>
        <w:pStyle w:val="27"/>
        <w:numPr>
          <w:ilvl w:val="1"/>
          <w:numId w:val="3"/>
        </w:numPr>
        <w:tabs>
          <w:tab w:val="left" w:pos="1145"/>
        </w:tabs>
        <w:snapToGrid w:val="0"/>
        <w:spacing w:line="360" w:lineRule="auto"/>
        <w:ind w:left="0" w:firstLine="462" w:firstLineChars="200"/>
        <w:jc w:val="left"/>
        <w:rPr>
          <w:b/>
          <w:bCs/>
          <w:sz w:val="23"/>
          <w:szCs w:val="23"/>
        </w:rPr>
      </w:pPr>
      <w:r>
        <w:rPr>
          <w:rFonts w:hint="eastAsia"/>
          <w:b/>
          <w:bCs/>
          <w:sz w:val="23"/>
          <w:szCs w:val="23"/>
        </w:rPr>
        <w:t>第一信封（1正4副）</w:t>
      </w:r>
      <w:r>
        <w:rPr>
          <w:rFonts w:hint="eastAsia"/>
          <w:b/>
          <w:bCs/>
          <w:sz w:val="23"/>
          <w:szCs w:val="23"/>
          <w:lang w:val="en-US"/>
        </w:rPr>
        <w:t>单独</w:t>
      </w:r>
      <w:r>
        <w:rPr>
          <w:rFonts w:hint="eastAsia"/>
          <w:b/>
          <w:bCs/>
          <w:sz w:val="23"/>
          <w:szCs w:val="23"/>
        </w:rPr>
        <w:t>密封在一个密封袋内。第二信封（1正4副）</w:t>
      </w:r>
      <w:r>
        <w:rPr>
          <w:rFonts w:hint="eastAsia"/>
          <w:b/>
          <w:bCs/>
          <w:sz w:val="23"/>
          <w:szCs w:val="23"/>
          <w:lang w:val="en-US"/>
        </w:rPr>
        <w:t>单独</w:t>
      </w:r>
      <w:r>
        <w:rPr>
          <w:rFonts w:hint="eastAsia"/>
          <w:b/>
          <w:bCs/>
          <w:sz w:val="23"/>
          <w:szCs w:val="23"/>
        </w:rPr>
        <w:t>密封在一个密封袋内。</w:t>
      </w:r>
    </w:p>
    <w:p>
      <w:pPr>
        <w:snapToGrid w:val="0"/>
        <w:spacing w:line="360" w:lineRule="auto"/>
        <w:ind w:firstLine="460" w:firstLineChars="200"/>
        <w:rPr>
          <w:sz w:val="23"/>
          <w:szCs w:val="23"/>
        </w:rPr>
      </w:pPr>
      <w:r>
        <w:rPr>
          <w:sz w:val="23"/>
          <w:szCs w:val="23"/>
        </w:rPr>
        <w:t>11、投标价格</w:t>
      </w:r>
    </w:p>
    <w:p>
      <w:pPr>
        <w:pStyle w:val="6"/>
        <w:numPr>
          <w:ilvl w:val="1"/>
          <w:numId w:val="4"/>
        </w:numPr>
        <w:tabs>
          <w:tab w:val="left" w:pos="1145"/>
        </w:tabs>
        <w:snapToGrid w:val="0"/>
        <w:spacing w:line="360" w:lineRule="auto"/>
        <w:ind w:left="0" w:firstLine="460" w:firstLineChars="200"/>
        <w:rPr>
          <w:rFonts w:ascii="宋体" w:hAnsi="宋体" w:eastAsia="宋体" w:cs="宋体"/>
          <w:b w:val="0"/>
          <w:bCs w:val="0"/>
          <w:sz w:val="23"/>
          <w:szCs w:val="23"/>
          <w:u w:val="none"/>
        </w:rPr>
      </w:pPr>
      <w:r>
        <w:rPr>
          <w:rFonts w:ascii="宋体" w:hAnsi="宋体" w:eastAsia="宋体" w:cs="宋体"/>
          <w:b w:val="0"/>
          <w:bCs w:val="0"/>
          <w:sz w:val="23"/>
          <w:szCs w:val="23"/>
          <w:u w:val="none"/>
        </w:rPr>
        <w:t>招标人设定投标控制价，</w:t>
      </w:r>
      <w:r>
        <w:rPr>
          <w:rFonts w:hint="eastAsia" w:ascii="宋体" w:hAnsi="宋体" w:eastAsia="宋体" w:cs="宋体"/>
          <w:b w:val="0"/>
          <w:bCs w:val="0"/>
          <w:sz w:val="23"/>
          <w:szCs w:val="23"/>
          <w:u w:val="none"/>
        </w:rPr>
        <w:t>具体详见投标人须知前附表</w:t>
      </w:r>
      <w:r>
        <w:rPr>
          <w:rFonts w:ascii="宋体" w:hAnsi="宋体" w:eastAsia="宋体" w:cs="宋体"/>
          <w:b w:val="0"/>
          <w:bCs w:val="0"/>
          <w:sz w:val="23"/>
          <w:szCs w:val="23"/>
          <w:u w:val="none"/>
        </w:rPr>
        <w:t>，投标人的投标报价超出招标人给定的投标控制价的，作</w:t>
      </w:r>
      <w:r>
        <w:rPr>
          <w:rFonts w:hint="eastAsia" w:ascii="宋体" w:hAnsi="宋体" w:eastAsia="宋体" w:cs="宋体"/>
          <w:b w:val="0"/>
          <w:bCs w:val="0"/>
          <w:sz w:val="23"/>
          <w:szCs w:val="23"/>
          <w:u w:val="none"/>
        </w:rPr>
        <w:t>否决投标</w:t>
      </w:r>
      <w:r>
        <w:rPr>
          <w:rFonts w:ascii="宋体" w:hAnsi="宋体" w:eastAsia="宋体" w:cs="宋体"/>
          <w:b w:val="0"/>
          <w:bCs w:val="0"/>
          <w:sz w:val="23"/>
          <w:szCs w:val="23"/>
          <w:u w:val="none"/>
        </w:rPr>
        <w:t>处理。</w:t>
      </w:r>
    </w:p>
    <w:p>
      <w:pPr>
        <w:pStyle w:val="6"/>
        <w:numPr>
          <w:ilvl w:val="1"/>
          <w:numId w:val="4"/>
        </w:numPr>
        <w:tabs>
          <w:tab w:val="left" w:pos="1145"/>
        </w:tabs>
        <w:snapToGrid w:val="0"/>
        <w:spacing w:line="360" w:lineRule="auto"/>
        <w:ind w:left="0" w:firstLine="460" w:firstLineChars="200"/>
        <w:rPr>
          <w:rFonts w:ascii="宋体" w:hAnsi="宋体" w:eastAsia="宋体" w:cs="宋体"/>
          <w:b w:val="0"/>
          <w:bCs w:val="0"/>
          <w:sz w:val="23"/>
          <w:szCs w:val="23"/>
          <w:u w:val="none"/>
        </w:rPr>
      </w:pPr>
      <w:r>
        <w:rPr>
          <w:rFonts w:hint="eastAsia" w:ascii="宋体" w:hAnsi="宋体" w:eastAsia="宋体" w:cs="宋体"/>
          <w:b w:val="0"/>
          <w:bCs w:val="0"/>
          <w:sz w:val="23"/>
          <w:szCs w:val="23"/>
          <w:u w:val="none"/>
        </w:rPr>
        <w:t>本项目为总价合同，投标报价</w:t>
      </w:r>
      <w:r>
        <w:rPr>
          <w:rFonts w:hint="eastAsia" w:cs="微软雅黑" w:asciiTheme="minorEastAsia" w:hAnsiTheme="minorEastAsia" w:eastAsiaTheme="minorEastAsia"/>
          <w:b w:val="0"/>
          <w:bCs w:val="0"/>
          <w:sz w:val="24"/>
          <w:szCs w:val="24"/>
          <w:u w:val="none"/>
        </w:rPr>
        <w:t>应</w:t>
      </w:r>
      <w:r>
        <w:rPr>
          <w:rFonts w:hint="eastAsia" w:cs="Malgun Gothic" w:asciiTheme="minorEastAsia" w:hAnsiTheme="minorEastAsia" w:eastAsiaTheme="minorEastAsia"/>
          <w:b w:val="0"/>
          <w:bCs w:val="0"/>
          <w:sz w:val="24"/>
          <w:szCs w:val="24"/>
          <w:u w:val="none"/>
        </w:rPr>
        <w:t>是投</w:t>
      </w:r>
      <w:r>
        <w:rPr>
          <w:rFonts w:hint="eastAsia" w:cs="微软雅黑" w:asciiTheme="minorEastAsia" w:hAnsiTheme="minorEastAsia" w:eastAsiaTheme="minorEastAsia"/>
          <w:b w:val="0"/>
          <w:bCs w:val="0"/>
          <w:sz w:val="24"/>
          <w:szCs w:val="24"/>
          <w:u w:val="none"/>
        </w:rPr>
        <w:t>标</w:t>
      </w:r>
      <w:r>
        <w:rPr>
          <w:rFonts w:hint="eastAsia" w:cs="Malgun Gothic" w:asciiTheme="minorEastAsia" w:hAnsiTheme="minorEastAsia" w:eastAsiaTheme="minorEastAsia"/>
          <w:b w:val="0"/>
          <w:bCs w:val="0"/>
          <w:sz w:val="24"/>
          <w:szCs w:val="24"/>
          <w:u w:val="none"/>
        </w:rPr>
        <w:t>人完成本</w:t>
      </w:r>
      <w:r>
        <w:rPr>
          <w:rFonts w:hint="eastAsia" w:cs="微软雅黑" w:asciiTheme="minorEastAsia" w:hAnsiTheme="minorEastAsia" w:eastAsiaTheme="minorEastAsia"/>
          <w:b w:val="0"/>
          <w:bCs w:val="0"/>
          <w:sz w:val="24"/>
          <w:szCs w:val="24"/>
          <w:u w:val="none"/>
        </w:rPr>
        <w:t>项</w:t>
      </w:r>
      <w:r>
        <w:rPr>
          <w:rFonts w:hint="eastAsia" w:cs="Malgun Gothic" w:asciiTheme="minorEastAsia" w:hAnsiTheme="minorEastAsia" w:eastAsiaTheme="minorEastAsia"/>
          <w:b w:val="0"/>
          <w:bCs w:val="0"/>
          <w:sz w:val="24"/>
          <w:szCs w:val="24"/>
          <w:u w:val="none"/>
        </w:rPr>
        <w:t>目所有工作</w:t>
      </w:r>
      <w:r>
        <w:rPr>
          <w:rFonts w:hint="eastAsia" w:cs="微软雅黑" w:asciiTheme="minorEastAsia" w:hAnsiTheme="minorEastAsia" w:eastAsiaTheme="minorEastAsia"/>
          <w:b w:val="0"/>
          <w:bCs w:val="0"/>
          <w:sz w:val="24"/>
          <w:szCs w:val="24"/>
          <w:u w:val="none"/>
        </w:rPr>
        <w:t>内</w:t>
      </w:r>
      <w:r>
        <w:rPr>
          <w:rFonts w:hint="eastAsia" w:cs="Malgun Gothic" w:asciiTheme="minorEastAsia" w:hAnsiTheme="minorEastAsia" w:eastAsiaTheme="minorEastAsia"/>
          <w:b w:val="0"/>
          <w:bCs w:val="0"/>
          <w:sz w:val="24"/>
          <w:szCs w:val="24"/>
          <w:u w:val="none"/>
        </w:rPr>
        <w:t>容和提供完整的</w:t>
      </w:r>
      <w:r>
        <w:rPr>
          <w:rFonts w:hint="eastAsia" w:cs="微软雅黑" w:asciiTheme="minorEastAsia" w:hAnsiTheme="minorEastAsia" w:eastAsiaTheme="minorEastAsia"/>
          <w:b w:val="0"/>
          <w:bCs w:val="0"/>
          <w:sz w:val="24"/>
          <w:szCs w:val="24"/>
          <w:u w:val="none"/>
        </w:rPr>
        <w:t>报</w:t>
      </w:r>
      <w:r>
        <w:rPr>
          <w:rFonts w:hint="eastAsia" w:cs="Malgun Gothic" w:asciiTheme="minorEastAsia" w:hAnsiTheme="minorEastAsia" w:eastAsiaTheme="minorEastAsia"/>
          <w:b w:val="0"/>
          <w:bCs w:val="0"/>
          <w:sz w:val="24"/>
          <w:szCs w:val="24"/>
          <w:u w:val="none"/>
        </w:rPr>
        <w:t>告（成果）</w:t>
      </w:r>
      <w:r>
        <w:rPr>
          <w:rFonts w:cs="宋体" w:asciiTheme="minorEastAsia" w:hAnsiTheme="minorEastAsia" w:eastAsiaTheme="minorEastAsia"/>
          <w:b w:val="0"/>
          <w:bCs w:val="0"/>
          <w:sz w:val="24"/>
          <w:szCs w:val="24"/>
          <w:u w:val="none"/>
        </w:rPr>
        <w:t>及后</w:t>
      </w:r>
      <w:r>
        <w:rPr>
          <w:rFonts w:hint="eastAsia" w:cs="微软雅黑" w:asciiTheme="minorEastAsia" w:hAnsiTheme="minorEastAsia" w:eastAsiaTheme="minorEastAsia"/>
          <w:b w:val="0"/>
          <w:bCs w:val="0"/>
          <w:sz w:val="24"/>
          <w:szCs w:val="24"/>
          <w:u w:val="none"/>
        </w:rPr>
        <w:t>续</w:t>
      </w:r>
      <w:r>
        <w:rPr>
          <w:rFonts w:hint="eastAsia" w:cs="Malgun Gothic" w:asciiTheme="minorEastAsia" w:hAnsiTheme="minorEastAsia" w:eastAsiaTheme="minorEastAsia"/>
          <w:b w:val="0"/>
          <w:bCs w:val="0"/>
          <w:sz w:val="24"/>
          <w:szCs w:val="24"/>
          <w:u w:val="none"/>
        </w:rPr>
        <w:t>服</w:t>
      </w:r>
      <w:r>
        <w:rPr>
          <w:rFonts w:hint="eastAsia" w:cs="微软雅黑" w:asciiTheme="minorEastAsia" w:hAnsiTheme="minorEastAsia" w:eastAsiaTheme="minorEastAsia"/>
          <w:b w:val="0"/>
          <w:bCs w:val="0"/>
          <w:sz w:val="24"/>
          <w:szCs w:val="24"/>
          <w:u w:val="none"/>
        </w:rPr>
        <w:t>务</w:t>
      </w:r>
      <w:r>
        <w:rPr>
          <w:rFonts w:hint="eastAsia" w:cs="Malgun Gothic" w:asciiTheme="minorEastAsia" w:hAnsiTheme="minorEastAsia" w:eastAsiaTheme="minorEastAsia"/>
          <w:b w:val="0"/>
          <w:bCs w:val="0"/>
          <w:sz w:val="24"/>
          <w:szCs w:val="24"/>
          <w:u w:val="none"/>
        </w:rPr>
        <w:t>的全部</w:t>
      </w:r>
      <w:r>
        <w:rPr>
          <w:rFonts w:hint="eastAsia" w:cs="微软雅黑" w:asciiTheme="minorEastAsia" w:hAnsiTheme="minorEastAsia" w:eastAsiaTheme="minorEastAsia"/>
          <w:b w:val="0"/>
          <w:bCs w:val="0"/>
          <w:sz w:val="24"/>
          <w:szCs w:val="24"/>
          <w:u w:val="none"/>
        </w:rPr>
        <w:t>费</w:t>
      </w:r>
      <w:r>
        <w:rPr>
          <w:rFonts w:hint="eastAsia" w:cs="Malgun Gothic" w:asciiTheme="minorEastAsia" w:hAnsiTheme="minorEastAsia" w:eastAsiaTheme="minorEastAsia"/>
          <w:b w:val="0"/>
          <w:bCs w:val="0"/>
          <w:sz w:val="24"/>
          <w:szCs w:val="24"/>
          <w:u w:val="none"/>
        </w:rPr>
        <w:t>用。投</w:t>
      </w:r>
      <w:r>
        <w:rPr>
          <w:rFonts w:hint="eastAsia" w:cs="微软雅黑" w:asciiTheme="minorEastAsia" w:hAnsiTheme="minorEastAsia" w:eastAsiaTheme="minorEastAsia"/>
          <w:b w:val="0"/>
          <w:bCs w:val="0"/>
          <w:sz w:val="24"/>
          <w:szCs w:val="24"/>
          <w:u w:val="none"/>
        </w:rPr>
        <w:t>标报</w:t>
      </w:r>
      <w:r>
        <w:rPr>
          <w:rFonts w:hint="eastAsia" w:cs="Malgun Gothic" w:asciiTheme="minorEastAsia" w:hAnsiTheme="minorEastAsia" w:eastAsiaTheme="minorEastAsia"/>
          <w:b w:val="0"/>
          <w:bCs w:val="0"/>
          <w:sz w:val="24"/>
          <w:szCs w:val="24"/>
          <w:u w:val="none"/>
        </w:rPr>
        <w:t>价</w:t>
      </w:r>
      <w:r>
        <w:rPr>
          <w:rFonts w:hint="eastAsia" w:cs="微软雅黑" w:asciiTheme="minorEastAsia" w:hAnsiTheme="minorEastAsia" w:eastAsiaTheme="minorEastAsia"/>
          <w:b w:val="0"/>
          <w:bCs w:val="0"/>
          <w:sz w:val="24"/>
          <w:szCs w:val="24"/>
          <w:u w:val="none"/>
        </w:rPr>
        <w:t>应视为</w:t>
      </w:r>
      <w:r>
        <w:rPr>
          <w:rFonts w:hint="eastAsia" w:cs="Malgun Gothic" w:asciiTheme="minorEastAsia" w:hAnsiTheme="minorEastAsia" w:eastAsiaTheme="minorEastAsia"/>
          <w:b w:val="0"/>
          <w:bCs w:val="0"/>
          <w:sz w:val="24"/>
          <w:szCs w:val="24"/>
          <w:u w:val="none"/>
        </w:rPr>
        <w:t>已包括：人</w:t>
      </w:r>
      <w:r>
        <w:rPr>
          <w:rFonts w:hint="eastAsia" w:cs="微软雅黑" w:asciiTheme="minorEastAsia" w:hAnsiTheme="minorEastAsia" w:eastAsiaTheme="minorEastAsia"/>
          <w:b w:val="0"/>
          <w:bCs w:val="0"/>
          <w:sz w:val="24"/>
          <w:szCs w:val="24"/>
          <w:u w:val="none"/>
        </w:rPr>
        <w:t>员费</w:t>
      </w:r>
      <w:r>
        <w:rPr>
          <w:rFonts w:hint="eastAsia" w:cs="Malgun Gothic" w:asciiTheme="minorEastAsia" w:hAnsiTheme="minorEastAsia" w:eastAsiaTheme="minorEastAsia"/>
          <w:b w:val="0"/>
          <w:bCs w:val="0"/>
          <w:sz w:val="24"/>
          <w:szCs w:val="24"/>
          <w:u w:val="none"/>
        </w:rPr>
        <w:t>用、</w:t>
      </w:r>
      <w:r>
        <w:rPr>
          <w:rFonts w:hint="eastAsia" w:cs="微软雅黑" w:asciiTheme="minorEastAsia" w:hAnsiTheme="minorEastAsia" w:eastAsiaTheme="minorEastAsia"/>
          <w:b w:val="0"/>
          <w:bCs w:val="0"/>
          <w:sz w:val="24"/>
          <w:szCs w:val="24"/>
          <w:u w:val="none"/>
        </w:rPr>
        <w:t>现场费</w:t>
      </w:r>
      <w:r>
        <w:rPr>
          <w:rFonts w:hint="eastAsia" w:cs="Malgun Gothic" w:asciiTheme="minorEastAsia" w:hAnsiTheme="minorEastAsia" w:eastAsiaTheme="minorEastAsia"/>
          <w:b w:val="0"/>
          <w:bCs w:val="0"/>
          <w:sz w:val="24"/>
          <w:szCs w:val="24"/>
          <w:u w:val="none"/>
        </w:rPr>
        <w:t>用、技</w:t>
      </w:r>
      <w:r>
        <w:rPr>
          <w:rFonts w:hint="eastAsia" w:cs="微软雅黑" w:asciiTheme="minorEastAsia" w:hAnsiTheme="minorEastAsia" w:eastAsiaTheme="minorEastAsia"/>
          <w:b w:val="0"/>
          <w:bCs w:val="0"/>
          <w:sz w:val="24"/>
          <w:szCs w:val="24"/>
          <w:u w:val="none"/>
        </w:rPr>
        <w:t>术评审费</w:t>
      </w:r>
      <w:r>
        <w:rPr>
          <w:rFonts w:hint="eastAsia" w:cs="Malgun Gothic" w:asciiTheme="minorEastAsia" w:hAnsiTheme="minorEastAsia" w:eastAsiaTheme="minorEastAsia"/>
          <w:b w:val="0"/>
          <w:bCs w:val="0"/>
          <w:sz w:val="24"/>
          <w:szCs w:val="24"/>
          <w:u w:val="none"/>
        </w:rPr>
        <w:t>用、验收评审费用、交通工具及使用</w:t>
      </w:r>
      <w:r>
        <w:rPr>
          <w:rFonts w:hint="eastAsia" w:cs="微软雅黑" w:asciiTheme="minorEastAsia" w:hAnsiTheme="minorEastAsia" w:eastAsiaTheme="minorEastAsia"/>
          <w:b w:val="0"/>
          <w:bCs w:val="0"/>
          <w:sz w:val="24"/>
          <w:szCs w:val="24"/>
          <w:u w:val="none"/>
        </w:rPr>
        <w:t>费</w:t>
      </w:r>
      <w:r>
        <w:rPr>
          <w:rFonts w:hint="eastAsia" w:cs="Malgun Gothic" w:asciiTheme="minorEastAsia" w:hAnsiTheme="minorEastAsia" w:eastAsiaTheme="minorEastAsia"/>
          <w:b w:val="0"/>
          <w:bCs w:val="0"/>
          <w:sz w:val="24"/>
          <w:szCs w:val="24"/>
          <w:u w:val="none"/>
        </w:rPr>
        <w:t>、</w:t>
      </w:r>
      <w:r>
        <w:rPr>
          <w:rFonts w:hint="eastAsia" w:cs="微软雅黑" w:asciiTheme="minorEastAsia" w:hAnsiTheme="minorEastAsia" w:eastAsiaTheme="minorEastAsia"/>
          <w:b w:val="0"/>
          <w:bCs w:val="0"/>
          <w:sz w:val="24"/>
          <w:szCs w:val="24"/>
          <w:u w:val="none"/>
        </w:rPr>
        <w:t>会务费</w:t>
      </w:r>
      <w:r>
        <w:rPr>
          <w:rFonts w:hint="eastAsia" w:cs="Malgun Gothic" w:asciiTheme="minorEastAsia" w:hAnsiTheme="minorEastAsia" w:eastAsiaTheme="minorEastAsia"/>
          <w:b w:val="0"/>
          <w:bCs w:val="0"/>
          <w:sz w:val="24"/>
          <w:szCs w:val="24"/>
          <w:u w:val="none"/>
        </w:rPr>
        <w:t>、车船</w:t>
      </w:r>
      <w:r>
        <w:rPr>
          <w:rFonts w:hint="eastAsia" w:cs="微软雅黑" w:asciiTheme="minorEastAsia" w:hAnsiTheme="minorEastAsia" w:eastAsiaTheme="minorEastAsia"/>
          <w:b w:val="0"/>
          <w:bCs w:val="0"/>
          <w:sz w:val="24"/>
          <w:szCs w:val="24"/>
          <w:u w:val="none"/>
        </w:rPr>
        <w:t>设备</w:t>
      </w:r>
      <w:r>
        <w:rPr>
          <w:rFonts w:hint="eastAsia" w:cs="Malgun Gothic" w:asciiTheme="minorEastAsia" w:hAnsiTheme="minorEastAsia" w:eastAsiaTheme="minorEastAsia"/>
          <w:b w:val="0"/>
          <w:bCs w:val="0"/>
          <w:sz w:val="24"/>
          <w:szCs w:val="24"/>
          <w:u w:val="none"/>
        </w:rPr>
        <w:t>及相</w:t>
      </w:r>
      <w:r>
        <w:rPr>
          <w:rFonts w:hint="eastAsia" w:cs="微软雅黑" w:asciiTheme="minorEastAsia" w:hAnsiTheme="minorEastAsia" w:eastAsiaTheme="minorEastAsia"/>
          <w:b w:val="0"/>
          <w:bCs w:val="0"/>
          <w:sz w:val="24"/>
          <w:szCs w:val="24"/>
          <w:u w:val="none"/>
        </w:rPr>
        <w:t>关费</w:t>
      </w:r>
      <w:r>
        <w:rPr>
          <w:rFonts w:hint="eastAsia" w:cs="Malgun Gothic" w:asciiTheme="minorEastAsia" w:hAnsiTheme="minorEastAsia" w:eastAsiaTheme="minorEastAsia"/>
          <w:b w:val="0"/>
          <w:bCs w:val="0"/>
          <w:sz w:val="24"/>
          <w:szCs w:val="24"/>
          <w:u w:val="none"/>
        </w:rPr>
        <w:t>用、公司取</w:t>
      </w:r>
      <w:r>
        <w:rPr>
          <w:rFonts w:hint="eastAsia" w:cs="微软雅黑" w:asciiTheme="minorEastAsia" w:hAnsiTheme="minorEastAsia" w:eastAsiaTheme="minorEastAsia"/>
          <w:b w:val="0"/>
          <w:bCs w:val="0"/>
          <w:sz w:val="24"/>
          <w:szCs w:val="24"/>
          <w:u w:val="none"/>
        </w:rPr>
        <w:t>费</w:t>
      </w:r>
      <w:r>
        <w:rPr>
          <w:rFonts w:hint="eastAsia" w:cs="Malgun Gothic" w:asciiTheme="minorEastAsia" w:hAnsiTheme="minorEastAsia" w:eastAsiaTheme="minorEastAsia"/>
          <w:b w:val="0"/>
          <w:bCs w:val="0"/>
          <w:sz w:val="24"/>
          <w:szCs w:val="24"/>
          <w:u w:val="none"/>
        </w:rPr>
        <w:t>、法定</w:t>
      </w:r>
      <w:r>
        <w:rPr>
          <w:rFonts w:hint="eastAsia" w:cs="微软雅黑" w:asciiTheme="minorEastAsia" w:hAnsiTheme="minorEastAsia" w:eastAsiaTheme="minorEastAsia"/>
          <w:b w:val="0"/>
          <w:bCs w:val="0"/>
          <w:sz w:val="24"/>
          <w:szCs w:val="24"/>
          <w:u w:val="none"/>
        </w:rPr>
        <w:t>税</w:t>
      </w:r>
      <w:r>
        <w:rPr>
          <w:rFonts w:hint="eastAsia" w:cs="Malgun Gothic" w:asciiTheme="minorEastAsia" w:hAnsiTheme="minorEastAsia" w:eastAsiaTheme="minorEastAsia"/>
          <w:b w:val="0"/>
          <w:bCs w:val="0"/>
          <w:sz w:val="24"/>
          <w:szCs w:val="24"/>
          <w:u w:val="none"/>
        </w:rPr>
        <w:t>金、利</w:t>
      </w:r>
      <w:r>
        <w:rPr>
          <w:rFonts w:hint="eastAsia" w:cs="微软雅黑" w:asciiTheme="minorEastAsia" w:hAnsiTheme="minorEastAsia" w:eastAsiaTheme="minorEastAsia"/>
          <w:b w:val="0"/>
          <w:bCs w:val="0"/>
          <w:sz w:val="24"/>
          <w:szCs w:val="24"/>
          <w:u w:val="none"/>
        </w:rPr>
        <w:t>润</w:t>
      </w:r>
      <w:r>
        <w:rPr>
          <w:rFonts w:hint="eastAsia" w:cs="Malgun Gothic" w:asciiTheme="minorEastAsia" w:hAnsiTheme="minorEastAsia" w:eastAsiaTheme="minorEastAsia"/>
          <w:b w:val="0"/>
          <w:bCs w:val="0"/>
          <w:sz w:val="24"/>
          <w:szCs w:val="24"/>
          <w:u w:val="none"/>
        </w:rPr>
        <w:t>等</w:t>
      </w:r>
      <w:r>
        <w:rPr>
          <w:rFonts w:hint="eastAsia" w:cs="微软雅黑" w:asciiTheme="minorEastAsia" w:hAnsiTheme="minorEastAsia" w:eastAsiaTheme="minorEastAsia"/>
          <w:b w:val="0"/>
          <w:bCs w:val="0"/>
          <w:sz w:val="24"/>
          <w:szCs w:val="24"/>
          <w:u w:val="none"/>
        </w:rPr>
        <w:t>与</w:t>
      </w:r>
      <w:r>
        <w:rPr>
          <w:rFonts w:hint="eastAsia" w:cs="Malgun Gothic" w:asciiTheme="minorEastAsia" w:hAnsiTheme="minorEastAsia" w:eastAsiaTheme="minorEastAsia"/>
          <w:b w:val="0"/>
          <w:bCs w:val="0"/>
          <w:sz w:val="24"/>
          <w:szCs w:val="24"/>
          <w:u w:val="none"/>
        </w:rPr>
        <w:t>履行本合同有</w:t>
      </w:r>
      <w:r>
        <w:rPr>
          <w:rFonts w:hint="eastAsia" w:cs="微软雅黑" w:asciiTheme="minorEastAsia" w:hAnsiTheme="minorEastAsia" w:eastAsiaTheme="minorEastAsia"/>
          <w:b w:val="0"/>
          <w:bCs w:val="0"/>
          <w:sz w:val="24"/>
          <w:szCs w:val="24"/>
          <w:u w:val="none"/>
        </w:rPr>
        <w:t>关</w:t>
      </w:r>
      <w:r>
        <w:rPr>
          <w:rFonts w:hint="eastAsia" w:cs="Malgun Gothic" w:asciiTheme="minorEastAsia" w:hAnsiTheme="minorEastAsia" w:eastAsiaTheme="minorEastAsia"/>
          <w:b w:val="0"/>
          <w:bCs w:val="0"/>
          <w:sz w:val="24"/>
          <w:szCs w:val="24"/>
          <w:u w:val="none"/>
        </w:rPr>
        <w:t>的一切</w:t>
      </w:r>
      <w:r>
        <w:rPr>
          <w:rFonts w:hint="eastAsia" w:cs="微软雅黑" w:asciiTheme="minorEastAsia" w:hAnsiTheme="minorEastAsia" w:eastAsiaTheme="minorEastAsia"/>
          <w:b w:val="0"/>
          <w:bCs w:val="0"/>
          <w:sz w:val="24"/>
          <w:szCs w:val="24"/>
          <w:u w:val="none"/>
        </w:rPr>
        <w:t>费</w:t>
      </w:r>
      <w:r>
        <w:rPr>
          <w:rFonts w:hint="eastAsia" w:cs="Malgun Gothic" w:asciiTheme="minorEastAsia" w:hAnsiTheme="minorEastAsia" w:eastAsiaTheme="minorEastAsia"/>
          <w:b w:val="0"/>
          <w:bCs w:val="0"/>
          <w:sz w:val="24"/>
          <w:szCs w:val="24"/>
          <w:u w:val="none"/>
        </w:rPr>
        <w:t>用。</w:t>
      </w:r>
    </w:p>
    <w:p>
      <w:pPr>
        <w:pStyle w:val="6"/>
        <w:numPr>
          <w:ilvl w:val="1"/>
          <w:numId w:val="4"/>
        </w:numPr>
        <w:tabs>
          <w:tab w:val="left" w:pos="1145"/>
        </w:tabs>
        <w:snapToGrid w:val="0"/>
        <w:spacing w:line="360" w:lineRule="auto"/>
        <w:ind w:left="0" w:firstLine="460" w:firstLineChars="200"/>
        <w:rPr>
          <w:rFonts w:ascii="宋体" w:hAnsi="宋体" w:eastAsia="宋体" w:cs="宋体"/>
          <w:b w:val="0"/>
          <w:bCs w:val="0"/>
          <w:sz w:val="23"/>
          <w:szCs w:val="23"/>
          <w:u w:val="none"/>
        </w:rPr>
      </w:pPr>
      <w:r>
        <w:rPr>
          <w:rFonts w:hint="eastAsia" w:ascii="宋体" w:hAnsi="宋体" w:eastAsia="宋体" w:cs="宋体"/>
          <w:b w:val="0"/>
          <w:bCs w:val="0"/>
          <w:sz w:val="23"/>
          <w:szCs w:val="23"/>
          <w:u w:val="none"/>
        </w:rPr>
        <w:t>业主不提供现场办公场所，监测服务单位相关监测服务人员的差旅费、食宿费、车船设备以及交通工具等由监测服务单位自备、自购或租用，相关费用包含在合同价格中。监测服务工作结束后，其产权仍归监测服务单位所有。</w:t>
      </w:r>
    </w:p>
    <w:p>
      <w:pPr>
        <w:pStyle w:val="6"/>
        <w:numPr>
          <w:ilvl w:val="1"/>
          <w:numId w:val="4"/>
        </w:numPr>
        <w:tabs>
          <w:tab w:val="left" w:pos="1145"/>
        </w:tabs>
        <w:snapToGrid w:val="0"/>
        <w:spacing w:line="360" w:lineRule="auto"/>
        <w:ind w:left="0" w:firstLine="460" w:firstLineChars="200"/>
        <w:rPr>
          <w:rFonts w:ascii="宋体" w:hAnsi="宋体" w:eastAsia="宋体" w:cs="宋体"/>
          <w:b w:val="0"/>
          <w:bCs w:val="0"/>
          <w:sz w:val="23"/>
          <w:szCs w:val="23"/>
          <w:u w:val="none"/>
        </w:rPr>
      </w:pPr>
      <w:r>
        <w:rPr>
          <w:rFonts w:hint="eastAsia" w:ascii="宋体" w:hAnsi="宋体" w:eastAsia="宋体" w:cs="宋体"/>
          <w:b w:val="0"/>
          <w:bCs w:val="0"/>
          <w:sz w:val="23"/>
          <w:szCs w:val="23"/>
          <w:u w:val="none"/>
        </w:rPr>
        <w:t>投标人应为投入的工作人员进行必要的安全教育，配备必要的安全装备，并为相关现场服务人员投保并承担费用，相关费用在投标报价中充分考虑。</w:t>
      </w:r>
    </w:p>
    <w:p>
      <w:pPr>
        <w:pStyle w:val="6"/>
        <w:numPr>
          <w:ilvl w:val="1"/>
          <w:numId w:val="4"/>
        </w:numPr>
        <w:tabs>
          <w:tab w:val="left" w:pos="1145"/>
        </w:tabs>
        <w:snapToGrid w:val="0"/>
        <w:spacing w:line="360" w:lineRule="auto"/>
        <w:ind w:left="0" w:firstLine="460" w:firstLineChars="200"/>
        <w:rPr>
          <w:rFonts w:ascii="宋体" w:hAnsi="宋体" w:eastAsia="宋体" w:cs="宋体"/>
          <w:b w:val="0"/>
          <w:bCs w:val="0"/>
          <w:sz w:val="23"/>
          <w:szCs w:val="23"/>
          <w:u w:val="none"/>
        </w:rPr>
      </w:pPr>
      <w:r>
        <w:rPr>
          <w:rFonts w:hint="eastAsia" w:ascii="宋体" w:hAnsi="宋体" w:eastAsia="宋体" w:cs="宋体"/>
          <w:b w:val="0"/>
          <w:bCs w:val="0"/>
          <w:sz w:val="23"/>
          <w:szCs w:val="23"/>
          <w:u w:val="none"/>
        </w:rPr>
        <w:t>监测服务单位的雇员及装备的保险由监测服务单位自行投保，包含在合同总价中，不单独计量与支付。</w:t>
      </w:r>
    </w:p>
    <w:p>
      <w:pPr>
        <w:pStyle w:val="6"/>
        <w:numPr>
          <w:ilvl w:val="1"/>
          <w:numId w:val="4"/>
        </w:numPr>
        <w:tabs>
          <w:tab w:val="left" w:pos="1145"/>
        </w:tabs>
        <w:snapToGrid w:val="0"/>
        <w:spacing w:line="360" w:lineRule="auto"/>
        <w:ind w:left="0" w:firstLine="460" w:firstLineChars="200"/>
        <w:rPr>
          <w:rFonts w:ascii="宋体" w:hAnsi="宋体" w:eastAsia="宋体" w:cs="宋体"/>
          <w:b w:val="0"/>
          <w:bCs w:val="0"/>
          <w:sz w:val="23"/>
          <w:szCs w:val="23"/>
          <w:u w:val="none"/>
        </w:rPr>
      </w:pPr>
      <w:r>
        <w:rPr>
          <w:rFonts w:hint="eastAsia" w:ascii="宋体" w:hAnsi="宋体" w:eastAsia="宋体" w:cs="宋体"/>
          <w:b w:val="0"/>
          <w:bCs w:val="0"/>
          <w:sz w:val="23"/>
          <w:szCs w:val="23"/>
          <w:u w:val="none"/>
        </w:rPr>
        <w:t>投标人应充分考虑本标段工作量，人员及设备必须满足承担的内容及要求。发包人要求增加人员和设备投入，以保证项目要求，承包人不得拒绝。由此增加的费用包含在投标报价中，费用不因此而调整。</w:t>
      </w:r>
    </w:p>
    <w:p>
      <w:pPr>
        <w:pStyle w:val="6"/>
        <w:numPr>
          <w:ilvl w:val="1"/>
          <w:numId w:val="4"/>
        </w:numPr>
        <w:tabs>
          <w:tab w:val="left" w:pos="1145"/>
        </w:tabs>
        <w:snapToGrid w:val="0"/>
        <w:spacing w:line="360" w:lineRule="auto"/>
        <w:ind w:left="0" w:firstLine="460" w:firstLineChars="200"/>
        <w:rPr>
          <w:rFonts w:ascii="宋体" w:hAnsi="宋体" w:eastAsia="宋体" w:cs="宋体"/>
          <w:b w:val="0"/>
          <w:bCs w:val="0"/>
          <w:sz w:val="23"/>
          <w:szCs w:val="23"/>
          <w:u w:val="none"/>
        </w:rPr>
      </w:pPr>
      <w:r>
        <w:rPr>
          <w:rFonts w:hint="eastAsia" w:ascii="宋体" w:hAnsi="宋体" w:eastAsia="宋体" w:cs="宋体"/>
          <w:b w:val="0"/>
          <w:bCs w:val="0"/>
          <w:sz w:val="23"/>
          <w:szCs w:val="23"/>
          <w:u w:val="none"/>
        </w:rPr>
        <w:t>监测服务单位在投标时应主动查阅本项目的有关设计文件、技术资料等。作为一个有经验的监测服务单位，应充分考虑到业主提供的相关资料和数据与合同实施过程中可能存有的偏差。监测服务单位应综合考虑到报价中，业主对监测服务单位的合同总价不因此而进行调整。</w:t>
      </w:r>
    </w:p>
    <w:p>
      <w:pPr>
        <w:pStyle w:val="6"/>
        <w:numPr>
          <w:ilvl w:val="1"/>
          <w:numId w:val="4"/>
        </w:numPr>
        <w:tabs>
          <w:tab w:val="left" w:pos="1145"/>
        </w:tabs>
        <w:snapToGrid w:val="0"/>
        <w:spacing w:line="360" w:lineRule="auto"/>
        <w:ind w:left="0" w:firstLine="460" w:firstLineChars="200"/>
        <w:rPr>
          <w:rFonts w:ascii="宋体" w:hAnsi="宋体" w:eastAsia="宋体" w:cs="宋体"/>
          <w:b w:val="0"/>
          <w:bCs w:val="0"/>
          <w:sz w:val="23"/>
          <w:szCs w:val="23"/>
          <w:u w:val="none"/>
        </w:rPr>
      </w:pPr>
      <w:r>
        <w:rPr>
          <w:rFonts w:hint="eastAsia" w:ascii="宋体" w:hAnsi="宋体" w:eastAsia="宋体" w:cs="宋体"/>
          <w:b w:val="0"/>
          <w:bCs w:val="0"/>
          <w:sz w:val="23"/>
          <w:szCs w:val="23"/>
          <w:u w:val="none"/>
        </w:rPr>
        <w:t>投标文件中只允许有一个报价，招标人不接受选择性报价。若出现两个或两个以上的报价，则该投标文件将被否决。</w:t>
      </w:r>
    </w:p>
    <w:p>
      <w:pPr>
        <w:pStyle w:val="6"/>
        <w:numPr>
          <w:ilvl w:val="1"/>
          <w:numId w:val="4"/>
        </w:numPr>
        <w:tabs>
          <w:tab w:val="left" w:pos="1145"/>
        </w:tabs>
        <w:snapToGrid w:val="0"/>
        <w:spacing w:line="360" w:lineRule="auto"/>
        <w:ind w:left="0" w:firstLine="460" w:firstLineChars="200"/>
        <w:rPr>
          <w:rFonts w:ascii="宋体" w:hAnsi="宋体" w:eastAsia="宋体" w:cs="宋体"/>
          <w:b w:val="0"/>
          <w:bCs w:val="0"/>
          <w:sz w:val="23"/>
          <w:szCs w:val="23"/>
          <w:u w:val="none"/>
        </w:rPr>
      </w:pPr>
      <w:r>
        <w:rPr>
          <w:rFonts w:hint="eastAsia" w:ascii="宋体" w:hAnsi="宋体" w:eastAsia="宋体" w:cs="宋体"/>
          <w:b w:val="0"/>
          <w:bCs w:val="0"/>
          <w:sz w:val="23"/>
          <w:szCs w:val="23"/>
          <w:u w:val="none"/>
        </w:rPr>
        <w:t xml:space="preserve">暂列金：本项目不设暂列金。 </w:t>
      </w:r>
    </w:p>
    <w:p>
      <w:pPr>
        <w:pStyle w:val="6"/>
        <w:numPr>
          <w:ilvl w:val="1"/>
          <w:numId w:val="4"/>
        </w:numPr>
        <w:tabs>
          <w:tab w:val="left" w:pos="1145"/>
        </w:tabs>
        <w:snapToGrid w:val="0"/>
        <w:spacing w:line="360" w:lineRule="auto"/>
        <w:ind w:left="0" w:firstLine="460" w:firstLineChars="200"/>
        <w:rPr>
          <w:rFonts w:ascii="宋体" w:hAnsi="宋体" w:eastAsia="宋体" w:cs="宋体"/>
          <w:b w:val="0"/>
          <w:bCs w:val="0"/>
          <w:sz w:val="23"/>
          <w:szCs w:val="23"/>
          <w:u w:val="none"/>
        </w:rPr>
      </w:pPr>
      <w:r>
        <w:rPr>
          <w:rFonts w:hint="eastAsia" w:ascii="宋体" w:hAnsi="宋体" w:eastAsia="宋体" w:cs="宋体"/>
          <w:b w:val="0"/>
          <w:bCs w:val="0"/>
          <w:sz w:val="23"/>
          <w:szCs w:val="23"/>
          <w:u w:val="none"/>
        </w:rPr>
        <w:t>在合同实施期间，合同总价不随国家政策或法规、标准及市场因素的变化而进行调整，也不因实际工作周期的延长或缩短而调整。</w:t>
      </w:r>
    </w:p>
    <w:p>
      <w:pPr>
        <w:pStyle w:val="6"/>
        <w:numPr>
          <w:ilvl w:val="1"/>
          <w:numId w:val="4"/>
        </w:numPr>
        <w:tabs>
          <w:tab w:val="left" w:pos="1145"/>
        </w:tabs>
        <w:snapToGrid w:val="0"/>
        <w:spacing w:line="360" w:lineRule="auto"/>
        <w:ind w:left="0" w:firstLine="462" w:firstLineChars="200"/>
        <w:rPr>
          <w:rFonts w:ascii="宋体" w:hAnsi="宋体" w:eastAsia="宋体" w:cs="宋体"/>
          <w:sz w:val="23"/>
          <w:szCs w:val="23"/>
          <w:u w:val="none"/>
        </w:rPr>
      </w:pPr>
      <w:r>
        <w:rPr>
          <w:rFonts w:hint="eastAsia" w:ascii="宋体" w:hAnsi="宋体" w:eastAsia="宋体" w:cs="宋体"/>
          <w:sz w:val="23"/>
          <w:szCs w:val="23"/>
          <w:u w:val="none"/>
        </w:rPr>
        <w:t>招标人提供的变形监测布点图为本次监测的基础点位图，合同实施时，监测服务单位需在开工前提交监测方案，监测方案可在基础点位图基础上进行适当调整或增加，点位数量不得少于基础点位图图示点位数，且监测方案须通过委托人组织的技术评审，费用不作调整。</w:t>
      </w:r>
    </w:p>
    <w:p>
      <w:pPr>
        <w:pStyle w:val="6"/>
        <w:numPr>
          <w:ilvl w:val="1"/>
          <w:numId w:val="4"/>
        </w:numPr>
        <w:tabs>
          <w:tab w:val="left" w:pos="1145"/>
        </w:tabs>
        <w:snapToGrid w:val="0"/>
        <w:spacing w:line="360" w:lineRule="auto"/>
        <w:ind w:left="0" w:firstLine="462" w:firstLineChars="200"/>
        <w:rPr>
          <w:rFonts w:ascii="宋体" w:hAnsi="宋体" w:eastAsia="宋体" w:cs="宋体"/>
          <w:sz w:val="23"/>
          <w:szCs w:val="23"/>
          <w:u w:val="none"/>
        </w:rPr>
      </w:pPr>
      <w:r>
        <w:rPr>
          <w:rFonts w:hint="eastAsia" w:ascii="宋体" w:hAnsi="宋体" w:eastAsia="宋体" w:cs="宋体"/>
          <w:sz w:val="23"/>
          <w:szCs w:val="23"/>
          <w:u w:val="none"/>
        </w:rPr>
        <w:t>沉降观测所需的测管制作、采购、埋设、保护、观测及变刚度复合地基剖面沉降监测等费用，均包含在其综合单价中，不另行支付，投标报价时应充分考虑。</w:t>
      </w:r>
    </w:p>
    <w:p>
      <w:pPr>
        <w:pStyle w:val="7"/>
        <w:snapToGrid w:val="0"/>
        <w:spacing w:line="360" w:lineRule="auto"/>
        <w:ind w:left="0" w:firstLine="460" w:firstLineChars="200"/>
        <w:rPr>
          <w:sz w:val="23"/>
          <w:szCs w:val="23"/>
        </w:rPr>
      </w:pPr>
      <w:r>
        <w:rPr>
          <w:sz w:val="23"/>
          <w:szCs w:val="23"/>
        </w:rPr>
        <w:t>12、投标货币</w:t>
      </w:r>
    </w:p>
    <w:p>
      <w:pPr>
        <w:pStyle w:val="27"/>
        <w:tabs>
          <w:tab w:val="left" w:pos="1214"/>
        </w:tabs>
        <w:snapToGrid w:val="0"/>
        <w:spacing w:line="360" w:lineRule="auto"/>
        <w:ind w:left="460" w:firstLine="0"/>
        <w:rPr>
          <w:sz w:val="23"/>
          <w:szCs w:val="23"/>
        </w:rPr>
      </w:pPr>
      <w:r>
        <w:rPr>
          <w:sz w:val="23"/>
          <w:szCs w:val="23"/>
        </w:rPr>
        <w:t>12.1 投标函的单价和总额价应用人民币表示。</w:t>
      </w:r>
    </w:p>
    <w:p>
      <w:pPr>
        <w:snapToGrid w:val="0"/>
        <w:spacing w:line="360" w:lineRule="auto"/>
        <w:ind w:firstLine="460" w:firstLineChars="200"/>
        <w:rPr>
          <w:sz w:val="23"/>
          <w:szCs w:val="23"/>
        </w:rPr>
      </w:pPr>
      <w:r>
        <w:rPr>
          <w:sz w:val="23"/>
          <w:szCs w:val="23"/>
        </w:rPr>
        <w:t>13、投标文件有效期</w:t>
      </w:r>
    </w:p>
    <w:p>
      <w:pPr>
        <w:pStyle w:val="27"/>
        <w:numPr>
          <w:ilvl w:val="1"/>
          <w:numId w:val="5"/>
        </w:numPr>
        <w:tabs>
          <w:tab w:val="left" w:pos="1214"/>
        </w:tabs>
        <w:snapToGrid w:val="0"/>
        <w:spacing w:line="360" w:lineRule="auto"/>
        <w:ind w:left="0" w:firstLine="460" w:firstLineChars="200"/>
        <w:rPr>
          <w:sz w:val="23"/>
          <w:szCs w:val="23"/>
        </w:rPr>
      </w:pPr>
      <w:r>
        <w:rPr>
          <w:sz w:val="23"/>
          <w:szCs w:val="23"/>
        </w:rPr>
        <w:t xml:space="preserve">自规定的投标截止日算起，投标文件有效期为 </w:t>
      </w:r>
      <w:r>
        <w:rPr>
          <w:rFonts w:hint="eastAsia"/>
          <w:sz w:val="23"/>
          <w:szCs w:val="23"/>
        </w:rPr>
        <w:t xml:space="preserve">90 </w:t>
      </w:r>
      <w:r>
        <w:rPr>
          <w:sz w:val="23"/>
          <w:szCs w:val="23"/>
        </w:rPr>
        <w:t>日历天。</w:t>
      </w:r>
    </w:p>
    <w:p>
      <w:pPr>
        <w:pStyle w:val="27"/>
        <w:numPr>
          <w:ilvl w:val="1"/>
          <w:numId w:val="5"/>
        </w:numPr>
        <w:tabs>
          <w:tab w:val="left" w:pos="1214"/>
        </w:tabs>
        <w:snapToGrid w:val="0"/>
        <w:spacing w:line="360" w:lineRule="auto"/>
        <w:ind w:left="0" w:firstLine="460" w:firstLineChars="200"/>
        <w:rPr>
          <w:sz w:val="23"/>
          <w:szCs w:val="23"/>
        </w:rPr>
      </w:pPr>
      <w:r>
        <w:rPr>
          <w:sz w:val="23"/>
          <w:szCs w:val="23"/>
        </w:rPr>
        <w:t>在原定投标文件有效期满之前，如果出现特殊情况，招标人可向投标人提出延长有效期的要求，这种要求应以传真等书面形式进行。投标人应</w:t>
      </w:r>
      <w:r>
        <w:rPr>
          <w:spacing w:val="-9"/>
          <w:sz w:val="23"/>
          <w:szCs w:val="23"/>
        </w:rPr>
        <w:t xml:space="preserve">在收到此要求的 </w:t>
      </w:r>
      <w:r>
        <w:rPr>
          <w:sz w:val="23"/>
          <w:szCs w:val="23"/>
        </w:rPr>
        <w:t>24</w:t>
      </w:r>
      <w:r>
        <w:rPr>
          <w:spacing w:val="-10"/>
          <w:sz w:val="23"/>
          <w:szCs w:val="23"/>
        </w:rPr>
        <w:t xml:space="preserve"> 小时内以传真等书面形式对此要求向招标人作出答复，在</w:t>
      </w:r>
      <w:r>
        <w:rPr>
          <w:sz w:val="23"/>
          <w:szCs w:val="23"/>
        </w:rPr>
        <w:t>此时限内不予答复的视为同意招标人的要求。投标人可以拒绝招标人的要求，而不会因此被没收投标保证金，但其投标文件将不予评审。同意延期的投标人应相应延长投标保证金的有效期，但不得因此而提出修改投标文件的</w:t>
      </w:r>
      <w:r>
        <w:rPr>
          <w:spacing w:val="-5"/>
          <w:sz w:val="23"/>
          <w:szCs w:val="23"/>
        </w:rPr>
        <w:t xml:space="preserve">要求。在延长期内，本须知第 </w:t>
      </w:r>
      <w:r>
        <w:rPr>
          <w:sz w:val="23"/>
          <w:szCs w:val="23"/>
        </w:rPr>
        <w:t>15</w:t>
      </w:r>
      <w:r>
        <w:rPr>
          <w:spacing w:val="-10"/>
          <w:sz w:val="23"/>
          <w:szCs w:val="23"/>
        </w:rPr>
        <w:t xml:space="preserve"> 条关于投标保证金的退还与没收的规定仍然</w:t>
      </w:r>
      <w:r>
        <w:rPr>
          <w:sz w:val="23"/>
          <w:szCs w:val="23"/>
        </w:rPr>
        <w:t>适用。</w:t>
      </w:r>
    </w:p>
    <w:p>
      <w:pPr>
        <w:snapToGrid w:val="0"/>
        <w:spacing w:line="360" w:lineRule="auto"/>
        <w:ind w:firstLine="460" w:firstLineChars="200"/>
        <w:rPr>
          <w:sz w:val="23"/>
          <w:szCs w:val="23"/>
        </w:rPr>
      </w:pPr>
      <w:r>
        <w:rPr>
          <w:sz w:val="23"/>
          <w:szCs w:val="23"/>
        </w:rPr>
        <w:t>14、投标保证金</w:t>
      </w:r>
    </w:p>
    <w:p>
      <w:pPr>
        <w:pStyle w:val="27"/>
        <w:numPr>
          <w:ilvl w:val="1"/>
          <w:numId w:val="6"/>
        </w:numPr>
        <w:tabs>
          <w:tab w:val="left" w:pos="1225"/>
        </w:tabs>
        <w:snapToGrid w:val="0"/>
        <w:spacing w:line="360" w:lineRule="auto"/>
        <w:ind w:left="-20" w:firstLine="460"/>
        <w:jc w:val="left"/>
        <w:rPr>
          <w:sz w:val="23"/>
          <w:szCs w:val="23"/>
        </w:rPr>
      </w:pPr>
      <w:r>
        <w:rPr>
          <w:sz w:val="23"/>
          <w:szCs w:val="23"/>
        </w:rPr>
        <w:t>投标人应在递交投标文件的同时，提交金额为人民币</w:t>
      </w:r>
      <w:r>
        <w:rPr>
          <w:rFonts w:hint="eastAsia"/>
          <w:sz w:val="23"/>
          <w:szCs w:val="23"/>
        </w:rPr>
        <w:t>详见须知前附表</w:t>
      </w:r>
      <w:r>
        <w:rPr>
          <w:sz w:val="23"/>
          <w:szCs w:val="23"/>
        </w:rPr>
        <w:t>的投标保证金。</w:t>
      </w:r>
    </w:p>
    <w:p>
      <w:pPr>
        <w:pStyle w:val="27"/>
        <w:numPr>
          <w:ilvl w:val="1"/>
          <w:numId w:val="6"/>
        </w:numPr>
        <w:tabs>
          <w:tab w:val="left" w:pos="1225"/>
        </w:tabs>
        <w:snapToGrid w:val="0"/>
        <w:spacing w:line="360" w:lineRule="auto"/>
        <w:ind w:left="-20" w:firstLine="460"/>
        <w:jc w:val="left"/>
        <w:rPr>
          <w:sz w:val="23"/>
          <w:szCs w:val="23"/>
        </w:rPr>
      </w:pPr>
      <w:r>
        <w:rPr>
          <w:sz w:val="23"/>
          <w:szCs w:val="23"/>
        </w:rPr>
        <w:t>投标保证金的形式：</w:t>
      </w:r>
      <w:r>
        <w:rPr>
          <w:rFonts w:hint="eastAsia"/>
          <w:sz w:val="23"/>
          <w:szCs w:val="23"/>
        </w:rPr>
        <w:t xml:space="preserve"> 详见须知前附表 </w:t>
      </w:r>
    </w:p>
    <w:p>
      <w:pPr>
        <w:pStyle w:val="27"/>
        <w:numPr>
          <w:ilvl w:val="1"/>
          <w:numId w:val="6"/>
        </w:numPr>
        <w:tabs>
          <w:tab w:val="left" w:pos="1225"/>
        </w:tabs>
        <w:snapToGrid w:val="0"/>
        <w:spacing w:line="360" w:lineRule="auto"/>
        <w:ind w:left="-20" w:firstLine="460"/>
        <w:jc w:val="left"/>
        <w:rPr>
          <w:sz w:val="23"/>
          <w:szCs w:val="23"/>
        </w:rPr>
      </w:pPr>
      <w:r>
        <w:rPr>
          <w:sz w:val="23"/>
          <w:szCs w:val="23"/>
        </w:rPr>
        <w:t xml:space="preserve">投标担保金的递交截止时间为： </w:t>
      </w:r>
      <w:r>
        <w:rPr>
          <w:rFonts w:hint="eastAsia"/>
          <w:sz w:val="23"/>
          <w:szCs w:val="23"/>
        </w:rPr>
        <w:t xml:space="preserve">详见须知前附表 </w:t>
      </w:r>
    </w:p>
    <w:p>
      <w:pPr>
        <w:pStyle w:val="27"/>
        <w:numPr>
          <w:ilvl w:val="1"/>
          <w:numId w:val="6"/>
        </w:numPr>
        <w:tabs>
          <w:tab w:val="left" w:pos="1225"/>
        </w:tabs>
        <w:snapToGrid w:val="0"/>
        <w:spacing w:line="360" w:lineRule="auto"/>
        <w:ind w:left="-20" w:firstLine="460"/>
        <w:jc w:val="left"/>
        <w:rPr>
          <w:sz w:val="23"/>
          <w:szCs w:val="23"/>
        </w:rPr>
      </w:pPr>
      <w:r>
        <w:rPr>
          <w:sz w:val="23"/>
          <w:szCs w:val="23"/>
        </w:rPr>
        <w:t xml:space="preserve"> 详见须知前附表 </w:t>
      </w:r>
    </w:p>
    <w:p>
      <w:pPr>
        <w:pStyle w:val="27"/>
        <w:numPr>
          <w:ilvl w:val="1"/>
          <w:numId w:val="6"/>
        </w:numPr>
        <w:tabs>
          <w:tab w:val="left" w:pos="1225"/>
        </w:tabs>
        <w:snapToGrid w:val="0"/>
        <w:spacing w:line="360" w:lineRule="auto"/>
        <w:ind w:left="-20" w:firstLine="460"/>
        <w:jc w:val="left"/>
        <w:rPr>
          <w:sz w:val="23"/>
          <w:szCs w:val="23"/>
        </w:rPr>
      </w:pPr>
      <w:r>
        <w:rPr>
          <w:sz w:val="23"/>
          <w:szCs w:val="23"/>
        </w:rPr>
        <w:t>招标代理的开户银行及账号</w:t>
      </w:r>
      <w:r>
        <w:rPr>
          <w:rFonts w:hint="eastAsia"/>
          <w:sz w:val="23"/>
          <w:szCs w:val="23"/>
        </w:rPr>
        <w:t>详见须知前附表</w:t>
      </w:r>
    </w:p>
    <w:p>
      <w:pPr>
        <w:pStyle w:val="27"/>
        <w:numPr>
          <w:ilvl w:val="1"/>
          <w:numId w:val="6"/>
        </w:numPr>
        <w:tabs>
          <w:tab w:val="left" w:pos="1225"/>
        </w:tabs>
        <w:snapToGrid w:val="0"/>
        <w:spacing w:line="360" w:lineRule="auto"/>
        <w:ind w:left="-20" w:firstLine="460"/>
        <w:jc w:val="left"/>
        <w:rPr>
          <w:sz w:val="23"/>
          <w:szCs w:val="23"/>
        </w:rPr>
      </w:pPr>
      <w:r>
        <w:rPr>
          <w:sz w:val="23"/>
          <w:szCs w:val="23"/>
        </w:rPr>
        <w:t xml:space="preserve">开户银行： </w:t>
      </w:r>
      <w:r>
        <w:rPr>
          <w:rFonts w:hint="eastAsia"/>
          <w:sz w:val="23"/>
          <w:szCs w:val="23"/>
        </w:rPr>
        <w:t>详见须知前附表</w:t>
      </w:r>
    </w:p>
    <w:p>
      <w:pPr>
        <w:pStyle w:val="27"/>
        <w:numPr>
          <w:ilvl w:val="1"/>
          <w:numId w:val="6"/>
        </w:numPr>
        <w:tabs>
          <w:tab w:val="left" w:pos="1225"/>
        </w:tabs>
        <w:snapToGrid w:val="0"/>
        <w:spacing w:line="360" w:lineRule="auto"/>
        <w:ind w:left="-20" w:firstLine="460"/>
        <w:jc w:val="left"/>
        <w:rPr>
          <w:sz w:val="23"/>
          <w:szCs w:val="23"/>
        </w:rPr>
      </w:pPr>
      <w:r>
        <w:rPr>
          <w:sz w:val="23"/>
          <w:szCs w:val="23"/>
        </w:rPr>
        <w:t xml:space="preserve">账 号： </w:t>
      </w:r>
      <w:r>
        <w:rPr>
          <w:rFonts w:hint="eastAsia"/>
          <w:sz w:val="23"/>
          <w:szCs w:val="23"/>
        </w:rPr>
        <w:t xml:space="preserve">详见须知前附表 </w:t>
      </w:r>
    </w:p>
    <w:p>
      <w:pPr>
        <w:pStyle w:val="27"/>
        <w:numPr>
          <w:ilvl w:val="1"/>
          <w:numId w:val="6"/>
        </w:numPr>
        <w:tabs>
          <w:tab w:val="left" w:pos="1225"/>
        </w:tabs>
        <w:snapToGrid w:val="0"/>
        <w:spacing w:line="360" w:lineRule="auto"/>
        <w:ind w:left="-20" w:firstLine="456"/>
        <w:jc w:val="left"/>
        <w:rPr>
          <w:sz w:val="23"/>
          <w:szCs w:val="23"/>
        </w:rPr>
      </w:pPr>
      <w:r>
        <w:rPr>
          <w:spacing w:val="-2"/>
          <w:sz w:val="23"/>
          <w:szCs w:val="23"/>
        </w:rPr>
        <w:t xml:space="preserve">投标保证金的有效期应超出投标文件有效期 </w:t>
      </w:r>
      <w:r>
        <w:rPr>
          <w:rFonts w:hint="eastAsia"/>
          <w:spacing w:val="-2"/>
          <w:sz w:val="23"/>
          <w:szCs w:val="23"/>
        </w:rPr>
        <w:t xml:space="preserve">90 </w:t>
      </w:r>
      <w:r>
        <w:rPr>
          <w:spacing w:val="-2"/>
          <w:sz w:val="23"/>
          <w:szCs w:val="23"/>
        </w:rPr>
        <w:t>天。招标人如果按本</w:t>
      </w:r>
      <w:r>
        <w:rPr>
          <w:spacing w:val="-18"/>
          <w:sz w:val="23"/>
          <w:szCs w:val="23"/>
        </w:rPr>
        <w:t xml:space="preserve">须知第 </w:t>
      </w:r>
      <w:r>
        <w:rPr>
          <w:sz w:val="23"/>
          <w:szCs w:val="23"/>
        </w:rPr>
        <w:t>13.2</w:t>
      </w:r>
      <w:r>
        <w:rPr>
          <w:spacing w:val="-10"/>
          <w:sz w:val="23"/>
          <w:szCs w:val="23"/>
        </w:rPr>
        <w:t xml:space="preserve"> 款的规定延长了投标文件的有效期，则投标保证金的有效期也应</w:t>
      </w:r>
      <w:r>
        <w:rPr>
          <w:sz w:val="23"/>
          <w:szCs w:val="23"/>
        </w:rPr>
        <w:t>相应延长。</w:t>
      </w:r>
    </w:p>
    <w:p>
      <w:pPr>
        <w:pStyle w:val="27"/>
        <w:numPr>
          <w:ilvl w:val="1"/>
          <w:numId w:val="6"/>
        </w:numPr>
        <w:tabs>
          <w:tab w:val="left" w:pos="1214"/>
        </w:tabs>
        <w:snapToGrid w:val="0"/>
        <w:spacing w:line="360" w:lineRule="auto"/>
        <w:ind w:left="-20" w:firstLine="460"/>
        <w:jc w:val="left"/>
        <w:rPr>
          <w:sz w:val="23"/>
          <w:szCs w:val="23"/>
        </w:rPr>
      </w:pPr>
      <w:r>
        <w:rPr>
          <w:sz w:val="23"/>
          <w:szCs w:val="23"/>
        </w:rPr>
        <w:t>未能按要求提交投标保证金的投标将被拒绝。</w:t>
      </w:r>
    </w:p>
    <w:p>
      <w:pPr>
        <w:pStyle w:val="27"/>
        <w:numPr>
          <w:ilvl w:val="1"/>
          <w:numId w:val="6"/>
        </w:numPr>
        <w:tabs>
          <w:tab w:val="left" w:pos="1354"/>
        </w:tabs>
        <w:snapToGrid w:val="0"/>
        <w:spacing w:line="360" w:lineRule="auto"/>
        <w:ind w:left="-20" w:firstLine="460"/>
        <w:jc w:val="left"/>
        <w:rPr>
          <w:sz w:val="23"/>
          <w:szCs w:val="23"/>
        </w:rPr>
      </w:pPr>
      <w:r>
        <w:rPr>
          <w:sz w:val="23"/>
          <w:szCs w:val="23"/>
        </w:rPr>
        <w:t>投标人如有下列情况，投标保证金将被没收；</w:t>
      </w:r>
    </w:p>
    <w:p>
      <w:pPr>
        <w:pStyle w:val="27"/>
        <w:numPr>
          <w:ilvl w:val="0"/>
          <w:numId w:val="7"/>
        </w:numPr>
        <w:tabs>
          <w:tab w:val="left" w:pos="1285"/>
        </w:tabs>
        <w:snapToGrid w:val="0"/>
        <w:spacing w:line="360" w:lineRule="auto"/>
        <w:ind w:left="0" w:firstLine="460" w:firstLineChars="200"/>
        <w:jc w:val="left"/>
        <w:rPr>
          <w:sz w:val="23"/>
          <w:szCs w:val="23"/>
        </w:rPr>
      </w:pPr>
      <w:r>
        <w:rPr>
          <w:sz w:val="23"/>
          <w:szCs w:val="23"/>
        </w:rPr>
        <w:t>投标人在投标文件有效期内撤回其投标文件；</w:t>
      </w:r>
    </w:p>
    <w:p>
      <w:pPr>
        <w:pStyle w:val="27"/>
        <w:numPr>
          <w:ilvl w:val="0"/>
          <w:numId w:val="7"/>
        </w:numPr>
        <w:tabs>
          <w:tab w:val="left" w:pos="1285"/>
        </w:tabs>
        <w:snapToGrid w:val="0"/>
        <w:spacing w:line="360" w:lineRule="auto"/>
        <w:ind w:left="0" w:firstLine="460" w:firstLineChars="200"/>
        <w:jc w:val="left"/>
        <w:rPr>
          <w:sz w:val="23"/>
          <w:szCs w:val="23"/>
        </w:rPr>
      </w:pPr>
      <w:r>
        <w:rPr>
          <w:sz w:val="23"/>
          <w:szCs w:val="23"/>
        </w:rPr>
        <w:t>串通作弊，哄抬价格；</w:t>
      </w:r>
    </w:p>
    <w:p>
      <w:pPr>
        <w:pStyle w:val="27"/>
        <w:numPr>
          <w:ilvl w:val="0"/>
          <w:numId w:val="7"/>
        </w:numPr>
        <w:tabs>
          <w:tab w:val="left" w:pos="1285"/>
        </w:tabs>
        <w:snapToGrid w:val="0"/>
        <w:spacing w:line="360" w:lineRule="auto"/>
        <w:ind w:left="0" w:firstLine="460" w:firstLineChars="200"/>
        <w:jc w:val="left"/>
        <w:rPr>
          <w:sz w:val="23"/>
          <w:szCs w:val="23"/>
        </w:rPr>
      </w:pPr>
      <w:r>
        <w:rPr>
          <w:sz w:val="23"/>
          <w:szCs w:val="23"/>
        </w:rPr>
        <w:t>不接受按评标办法的规定对其投标报价进行的算术性修正；</w:t>
      </w:r>
    </w:p>
    <w:p>
      <w:pPr>
        <w:pStyle w:val="27"/>
        <w:numPr>
          <w:ilvl w:val="0"/>
          <w:numId w:val="7"/>
        </w:numPr>
        <w:tabs>
          <w:tab w:val="left" w:pos="1477"/>
        </w:tabs>
        <w:snapToGrid w:val="0"/>
        <w:spacing w:line="360" w:lineRule="auto"/>
        <w:ind w:left="0" w:firstLine="456" w:firstLineChars="200"/>
        <w:jc w:val="left"/>
        <w:rPr>
          <w:sz w:val="23"/>
          <w:szCs w:val="23"/>
        </w:rPr>
      </w:pPr>
      <w:r>
        <w:rPr>
          <w:spacing w:val="-1"/>
          <w:sz w:val="23"/>
          <w:szCs w:val="23"/>
        </w:rPr>
        <w:t>中标后未能在规定期限内签署合同协议，或未按招标文件规定提</w:t>
      </w:r>
      <w:r>
        <w:rPr>
          <w:sz w:val="23"/>
          <w:szCs w:val="23"/>
        </w:rPr>
        <w:t>交履约保证金。</w:t>
      </w:r>
    </w:p>
    <w:p>
      <w:pPr>
        <w:pStyle w:val="27"/>
        <w:numPr>
          <w:ilvl w:val="1"/>
          <w:numId w:val="6"/>
        </w:numPr>
        <w:tabs>
          <w:tab w:val="left" w:pos="1434"/>
        </w:tabs>
        <w:snapToGrid w:val="0"/>
        <w:spacing w:line="360" w:lineRule="auto"/>
        <w:ind w:left="-20" w:firstLine="460"/>
        <w:jc w:val="left"/>
        <w:rPr>
          <w:sz w:val="23"/>
          <w:szCs w:val="23"/>
        </w:rPr>
      </w:pPr>
      <w:r>
        <w:rPr>
          <w:sz w:val="23"/>
          <w:szCs w:val="23"/>
        </w:rPr>
        <w:t>投标保证金的退还：</w:t>
      </w:r>
    </w:p>
    <w:p>
      <w:pPr>
        <w:snapToGrid w:val="0"/>
        <w:spacing w:line="360" w:lineRule="auto"/>
        <w:ind w:firstLine="460" w:firstLineChars="200"/>
        <w:rPr>
          <w:sz w:val="23"/>
          <w:szCs w:val="23"/>
        </w:rPr>
      </w:pPr>
      <w:r>
        <w:rPr>
          <w:sz w:val="23"/>
          <w:szCs w:val="23"/>
        </w:rPr>
        <w:t>（</w:t>
      </w:r>
      <w:r>
        <w:rPr>
          <w:rFonts w:ascii="Times New Roman" w:eastAsia="Times New Roman"/>
          <w:sz w:val="23"/>
          <w:szCs w:val="23"/>
        </w:rPr>
        <w:t>1</w:t>
      </w:r>
      <w:r>
        <w:rPr>
          <w:sz w:val="23"/>
          <w:szCs w:val="23"/>
        </w:rPr>
        <w:t>）</w:t>
      </w:r>
      <w:r>
        <w:rPr>
          <w:rFonts w:hint="eastAsia"/>
          <w:sz w:val="23"/>
          <w:szCs w:val="23"/>
        </w:rPr>
        <w:t>未被推荐为中标候选人的</w:t>
      </w:r>
      <w:r>
        <w:rPr>
          <w:sz w:val="23"/>
          <w:szCs w:val="23"/>
        </w:rPr>
        <w:t>投标人的投标保证金</w:t>
      </w:r>
      <w:r>
        <w:rPr>
          <w:rFonts w:hint="eastAsia"/>
          <w:sz w:val="23"/>
          <w:szCs w:val="23"/>
        </w:rPr>
        <w:t>在评标结果公示期内即可自行联系招标代理办理退还手续</w:t>
      </w:r>
      <w:r>
        <w:rPr>
          <w:spacing w:val="-24"/>
          <w:sz w:val="23"/>
          <w:szCs w:val="23"/>
        </w:rPr>
        <w:t>。</w:t>
      </w:r>
    </w:p>
    <w:p>
      <w:pPr>
        <w:snapToGrid w:val="0"/>
        <w:spacing w:line="360" w:lineRule="auto"/>
        <w:ind w:firstLine="460" w:firstLineChars="200"/>
        <w:rPr>
          <w:sz w:val="23"/>
          <w:szCs w:val="23"/>
        </w:rPr>
      </w:pPr>
      <w:r>
        <w:rPr>
          <w:sz w:val="23"/>
          <w:szCs w:val="23"/>
        </w:rPr>
        <w:t>（</w:t>
      </w:r>
      <w:r>
        <w:rPr>
          <w:rFonts w:ascii="Times New Roman" w:eastAsia="Times New Roman"/>
          <w:sz w:val="23"/>
          <w:szCs w:val="23"/>
        </w:rPr>
        <w:t>2</w:t>
      </w:r>
      <w:r>
        <w:rPr>
          <w:sz w:val="23"/>
          <w:szCs w:val="23"/>
        </w:rPr>
        <w:t>）第二、第三中标候选人的投标保证金的退还手续在中标人向业主提交履约担保后方能办理；</w:t>
      </w:r>
    </w:p>
    <w:p>
      <w:pPr>
        <w:snapToGrid w:val="0"/>
        <w:spacing w:line="360" w:lineRule="auto"/>
        <w:ind w:firstLine="460" w:firstLineChars="200"/>
        <w:rPr>
          <w:sz w:val="23"/>
          <w:szCs w:val="23"/>
        </w:rPr>
      </w:pPr>
      <w:r>
        <w:rPr>
          <w:sz w:val="23"/>
          <w:szCs w:val="23"/>
        </w:rPr>
        <w:t>（</w:t>
      </w:r>
      <w:r>
        <w:rPr>
          <w:rFonts w:ascii="Times New Roman" w:eastAsia="Times New Roman"/>
          <w:sz w:val="23"/>
          <w:szCs w:val="23"/>
        </w:rPr>
        <w:t>3</w:t>
      </w:r>
      <w:r>
        <w:rPr>
          <w:sz w:val="23"/>
          <w:szCs w:val="23"/>
        </w:rPr>
        <w:t>）中标人的投标保证金，必须在提交履约担保并与业主签订正式合同协议书后，请携带所签订的合同协议书至招标代理处办理。各投标人应根据此规定办理退还保证金的手续，逾期未办理手续，责任自负。</w:t>
      </w:r>
    </w:p>
    <w:p>
      <w:pPr>
        <w:snapToGrid w:val="0"/>
        <w:spacing w:line="360" w:lineRule="auto"/>
        <w:ind w:firstLine="460" w:firstLineChars="200"/>
        <w:rPr>
          <w:sz w:val="23"/>
          <w:szCs w:val="23"/>
        </w:rPr>
      </w:pPr>
      <w:r>
        <w:rPr>
          <w:sz w:val="23"/>
          <w:szCs w:val="23"/>
        </w:rPr>
        <w:t>15、投标文件的格式和签署</w:t>
      </w:r>
    </w:p>
    <w:p>
      <w:pPr>
        <w:pStyle w:val="27"/>
        <w:numPr>
          <w:ilvl w:val="1"/>
          <w:numId w:val="8"/>
        </w:numPr>
        <w:tabs>
          <w:tab w:val="left" w:pos="1225"/>
        </w:tabs>
        <w:snapToGrid w:val="0"/>
        <w:spacing w:line="360" w:lineRule="auto"/>
        <w:ind w:left="0" w:firstLine="460" w:firstLineChars="200"/>
        <w:rPr>
          <w:sz w:val="23"/>
          <w:szCs w:val="23"/>
        </w:rPr>
      </w:pPr>
      <w:r>
        <w:rPr>
          <w:sz w:val="23"/>
          <w:szCs w:val="23"/>
        </w:rPr>
        <w:t>投标文件的制作应满足以下规定：</w:t>
      </w:r>
    </w:p>
    <w:p>
      <w:pPr>
        <w:pStyle w:val="27"/>
        <w:tabs>
          <w:tab w:val="left" w:pos="1365"/>
        </w:tabs>
        <w:snapToGrid w:val="0"/>
        <w:spacing w:line="360" w:lineRule="auto"/>
        <w:ind w:left="448" w:firstLine="0"/>
        <w:rPr>
          <w:sz w:val="23"/>
          <w:szCs w:val="23"/>
        </w:rPr>
      </w:pPr>
      <w:r>
        <w:rPr>
          <w:rFonts w:hint="eastAsia"/>
          <w:spacing w:val="-6"/>
          <w:sz w:val="23"/>
          <w:szCs w:val="23"/>
        </w:rPr>
        <w:t>（1）</w:t>
      </w:r>
      <w:r>
        <w:rPr>
          <w:spacing w:val="-6"/>
          <w:sz w:val="23"/>
          <w:szCs w:val="23"/>
        </w:rPr>
        <w:t>投标文件中证明资料的“复印件”均</w:t>
      </w:r>
      <w:r>
        <w:rPr>
          <w:rFonts w:hint="eastAsia"/>
          <w:spacing w:val="-6"/>
          <w:sz w:val="23"/>
          <w:szCs w:val="23"/>
        </w:rPr>
        <w:t>应为彩色复印件或彩色扫描件。</w:t>
      </w:r>
    </w:p>
    <w:p>
      <w:pPr>
        <w:snapToGrid w:val="0"/>
        <w:spacing w:line="360" w:lineRule="auto"/>
        <w:ind w:firstLine="460" w:firstLineChars="200"/>
        <w:rPr>
          <w:sz w:val="23"/>
          <w:szCs w:val="23"/>
        </w:rPr>
      </w:pPr>
      <w:r>
        <w:rPr>
          <w:rFonts w:hint="eastAsia"/>
          <w:sz w:val="23"/>
          <w:szCs w:val="23"/>
        </w:rPr>
        <w:t>（2）</w:t>
      </w:r>
      <w:r>
        <w:rPr>
          <w:sz w:val="23"/>
          <w:szCs w:val="23"/>
        </w:rPr>
        <w:t>投标文件中的已标价工程量清单数据文件应与招标人提供的工程量清单数据文件格式一致。</w:t>
      </w:r>
    </w:p>
    <w:p>
      <w:pPr>
        <w:snapToGrid w:val="0"/>
        <w:spacing w:line="360" w:lineRule="auto"/>
        <w:ind w:firstLine="460" w:firstLineChars="200"/>
        <w:rPr>
          <w:sz w:val="23"/>
          <w:szCs w:val="23"/>
        </w:rPr>
      </w:pPr>
      <w:r>
        <w:rPr>
          <w:rFonts w:hint="eastAsia"/>
          <w:sz w:val="23"/>
          <w:szCs w:val="23"/>
        </w:rPr>
        <w:t>15.2</w:t>
      </w:r>
      <w:r>
        <w:rPr>
          <w:sz w:val="23"/>
          <w:szCs w:val="23"/>
        </w:rPr>
        <w:t>投标人不得递交备选投标方案。</w:t>
      </w:r>
    </w:p>
    <w:p>
      <w:pPr>
        <w:pStyle w:val="7"/>
        <w:snapToGrid w:val="0"/>
        <w:spacing w:line="360" w:lineRule="auto"/>
        <w:ind w:left="0" w:firstLine="460" w:firstLineChars="200"/>
        <w:jc w:val="center"/>
        <w:rPr>
          <w:sz w:val="23"/>
          <w:szCs w:val="23"/>
        </w:rPr>
      </w:pPr>
    </w:p>
    <w:p>
      <w:pPr>
        <w:pStyle w:val="7"/>
        <w:snapToGrid w:val="0"/>
        <w:spacing w:line="360" w:lineRule="auto"/>
        <w:ind w:left="0" w:firstLine="460" w:firstLineChars="200"/>
        <w:jc w:val="center"/>
        <w:rPr>
          <w:sz w:val="23"/>
          <w:szCs w:val="23"/>
        </w:rPr>
      </w:pPr>
      <w:r>
        <w:rPr>
          <w:sz w:val="23"/>
          <w:szCs w:val="23"/>
        </w:rPr>
        <w:t>D、投标文件的递交</w:t>
      </w:r>
    </w:p>
    <w:p>
      <w:pPr>
        <w:pStyle w:val="27"/>
        <w:numPr>
          <w:ilvl w:val="0"/>
          <w:numId w:val="9"/>
        </w:numPr>
        <w:tabs>
          <w:tab w:val="left" w:pos="1085"/>
        </w:tabs>
        <w:snapToGrid w:val="0"/>
        <w:spacing w:line="360" w:lineRule="auto"/>
        <w:ind w:left="0" w:firstLine="460" w:firstLineChars="200"/>
        <w:rPr>
          <w:sz w:val="23"/>
          <w:szCs w:val="23"/>
        </w:rPr>
      </w:pPr>
      <w:r>
        <w:rPr>
          <w:sz w:val="23"/>
          <w:szCs w:val="23"/>
        </w:rPr>
        <w:t>投标</w:t>
      </w:r>
    </w:p>
    <w:p>
      <w:pPr>
        <w:pStyle w:val="27"/>
        <w:numPr>
          <w:ilvl w:val="1"/>
          <w:numId w:val="9"/>
        </w:numPr>
        <w:tabs>
          <w:tab w:val="left" w:pos="1225"/>
        </w:tabs>
        <w:snapToGrid w:val="0"/>
        <w:spacing w:line="360" w:lineRule="auto"/>
        <w:ind w:left="0" w:firstLine="460" w:firstLineChars="200"/>
        <w:rPr>
          <w:sz w:val="23"/>
          <w:szCs w:val="23"/>
        </w:rPr>
      </w:pPr>
      <w:r>
        <w:rPr>
          <w:sz w:val="23"/>
          <w:szCs w:val="23"/>
        </w:rPr>
        <w:t>投标文件的递交</w:t>
      </w:r>
    </w:p>
    <w:p>
      <w:pPr>
        <w:pStyle w:val="27"/>
        <w:tabs>
          <w:tab w:val="left" w:pos="1225"/>
        </w:tabs>
        <w:snapToGrid w:val="0"/>
        <w:spacing w:line="360" w:lineRule="auto"/>
        <w:ind w:left="0" w:firstLine="460" w:firstLineChars="200"/>
        <w:rPr>
          <w:sz w:val="23"/>
          <w:szCs w:val="23"/>
        </w:rPr>
      </w:pPr>
      <w:r>
        <w:rPr>
          <w:rFonts w:hint="eastAsia"/>
          <w:sz w:val="23"/>
          <w:szCs w:val="23"/>
          <w:lang w:val="en-US"/>
        </w:rPr>
        <w:t>16.1.1</w:t>
      </w:r>
      <w:r>
        <w:rPr>
          <w:sz w:val="23"/>
          <w:szCs w:val="23"/>
        </w:rPr>
        <w:t>投标人应在第一章“招标公告”规定的投标截止时间前</w:t>
      </w:r>
      <w:r>
        <w:rPr>
          <w:rFonts w:hint="eastAsia"/>
          <w:sz w:val="23"/>
          <w:szCs w:val="23"/>
        </w:rPr>
        <w:t>将投标文件递交至指定地点</w:t>
      </w:r>
      <w:r>
        <w:rPr>
          <w:sz w:val="23"/>
          <w:szCs w:val="23"/>
        </w:rPr>
        <w:t>。</w:t>
      </w:r>
    </w:p>
    <w:p>
      <w:pPr>
        <w:pStyle w:val="7"/>
        <w:tabs>
          <w:tab w:val="left" w:pos="1505"/>
        </w:tabs>
        <w:snapToGrid w:val="0"/>
        <w:spacing w:line="360" w:lineRule="auto"/>
        <w:ind w:left="0" w:firstLine="460" w:firstLineChars="200"/>
        <w:rPr>
          <w:sz w:val="23"/>
          <w:szCs w:val="23"/>
          <w:lang w:val="en-US"/>
        </w:rPr>
      </w:pPr>
      <w:r>
        <w:rPr>
          <w:rFonts w:hint="eastAsia"/>
          <w:sz w:val="23"/>
          <w:szCs w:val="23"/>
          <w:lang w:val="en-US"/>
        </w:rPr>
        <w:t>16.1.2根据招标文件的规定，投标人递交的投标文件，只要出现应当拒收的情形，其投标文件予以拒收。</w:t>
      </w:r>
    </w:p>
    <w:p>
      <w:pPr>
        <w:snapToGrid w:val="0"/>
        <w:spacing w:line="360" w:lineRule="auto"/>
        <w:ind w:firstLine="460" w:firstLineChars="200"/>
        <w:rPr>
          <w:sz w:val="23"/>
          <w:szCs w:val="23"/>
        </w:rPr>
      </w:pPr>
      <w:r>
        <w:rPr>
          <w:sz w:val="23"/>
          <w:szCs w:val="23"/>
        </w:rPr>
        <w:t>16</w:t>
      </w:r>
      <w:r>
        <w:rPr>
          <w:rFonts w:hint="eastAsia"/>
          <w:sz w:val="23"/>
          <w:szCs w:val="23"/>
        </w:rPr>
        <w:t>.1</w:t>
      </w:r>
      <w:r>
        <w:rPr>
          <w:sz w:val="23"/>
          <w:szCs w:val="23"/>
        </w:rPr>
        <w:t>.3 除投标人须知前附表另有规定外，投标人所递交的投标文件不予退还。投标人少于 3 个的，投标文件当场退还给投标人。</w:t>
      </w:r>
    </w:p>
    <w:p>
      <w:pPr>
        <w:snapToGrid w:val="0"/>
        <w:spacing w:line="360" w:lineRule="auto"/>
        <w:ind w:firstLine="460" w:firstLineChars="200"/>
        <w:rPr>
          <w:sz w:val="23"/>
          <w:szCs w:val="23"/>
        </w:rPr>
      </w:pPr>
      <w:r>
        <w:rPr>
          <w:sz w:val="23"/>
          <w:szCs w:val="23"/>
        </w:rPr>
        <w:t>16.</w:t>
      </w:r>
      <w:r>
        <w:rPr>
          <w:rFonts w:hint="eastAsia"/>
          <w:sz w:val="23"/>
          <w:szCs w:val="23"/>
        </w:rPr>
        <w:t>1</w:t>
      </w:r>
      <w:r>
        <w:rPr>
          <w:sz w:val="23"/>
          <w:szCs w:val="23"/>
        </w:rPr>
        <w:t>.4 逾期送达的或未送达指定地点的投标文件，招标人将予以拒收。</w:t>
      </w:r>
    </w:p>
    <w:p>
      <w:pPr>
        <w:pStyle w:val="27"/>
        <w:numPr>
          <w:ilvl w:val="1"/>
          <w:numId w:val="9"/>
        </w:numPr>
        <w:tabs>
          <w:tab w:val="left" w:pos="1225"/>
        </w:tabs>
        <w:snapToGrid w:val="0"/>
        <w:spacing w:line="360" w:lineRule="auto"/>
        <w:ind w:left="0" w:firstLine="460" w:firstLineChars="200"/>
        <w:rPr>
          <w:sz w:val="23"/>
          <w:szCs w:val="23"/>
        </w:rPr>
      </w:pPr>
      <w:r>
        <w:rPr>
          <w:sz w:val="23"/>
          <w:szCs w:val="23"/>
        </w:rPr>
        <w:t>投标文件的修改与撤回</w:t>
      </w:r>
    </w:p>
    <w:p>
      <w:pPr>
        <w:pStyle w:val="27"/>
        <w:tabs>
          <w:tab w:val="left" w:pos="1225"/>
        </w:tabs>
        <w:snapToGrid w:val="0"/>
        <w:spacing w:line="360" w:lineRule="auto"/>
        <w:ind w:left="0" w:firstLine="460" w:firstLineChars="200"/>
        <w:rPr>
          <w:sz w:val="23"/>
          <w:szCs w:val="23"/>
        </w:rPr>
      </w:pPr>
      <w:r>
        <w:rPr>
          <w:rFonts w:hint="eastAsia"/>
          <w:sz w:val="23"/>
          <w:szCs w:val="23"/>
        </w:rPr>
        <w:t>16.2.1在送交投标文件截止期以前，投标人可以更改或撤回投标文件，但必须以书面形式提出，并经授权的投标文件签字人签署。在时间紧迫的情况下，投标文件撤回的要求可先以传真通知招标人，但应随即补发一份正式的书面函件予以确认。更改、撤回的确认书必须在送交投标文件截止期以前送达招标人签收。招标人最多只能接受一次投标人按上述规定提出的修改。</w:t>
      </w:r>
    </w:p>
    <w:p>
      <w:pPr>
        <w:pStyle w:val="27"/>
        <w:numPr>
          <w:ilvl w:val="1"/>
          <w:numId w:val="9"/>
        </w:numPr>
        <w:tabs>
          <w:tab w:val="left" w:pos="1225"/>
        </w:tabs>
        <w:snapToGrid w:val="0"/>
        <w:spacing w:line="360" w:lineRule="auto"/>
        <w:ind w:left="0" w:firstLine="460" w:firstLineChars="200"/>
        <w:rPr>
          <w:sz w:val="23"/>
          <w:szCs w:val="23"/>
        </w:rPr>
      </w:pPr>
      <w:r>
        <w:rPr>
          <w:rFonts w:hint="eastAsia"/>
          <w:sz w:val="23"/>
          <w:szCs w:val="23"/>
        </w:rPr>
        <w:t>更改的投标文件应同样按照投标文件送交规定的要求进行编制、密封、标记和发送。</w:t>
      </w:r>
    </w:p>
    <w:p>
      <w:pPr>
        <w:pStyle w:val="27"/>
        <w:numPr>
          <w:ilvl w:val="1"/>
          <w:numId w:val="9"/>
        </w:numPr>
        <w:tabs>
          <w:tab w:val="left" w:pos="1225"/>
        </w:tabs>
        <w:snapToGrid w:val="0"/>
        <w:spacing w:line="360" w:lineRule="auto"/>
        <w:ind w:left="0" w:firstLine="460" w:firstLineChars="200"/>
        <w:rPr>
          <w:sz w:val="23"/>
          <w:szCs w:val="23"/>
        </w:rPr>
      </w:pPr>
      <w:r>
        <w:rPr>
          <w:rFonts w:hint="eastAsia"/>
          <w:sz w:val="23"/>
          <w:szCs w:val="23"/>
        </w:rPr>
        <w:t>送交投标文件截止期以后，投标文件不得更改。</w:t>
      </w:r>
    </w:p>
    <w:p>
      <w:pPr>
        <w:pStyle w:val="27"/>
        <w:numPr>
          <w:ilvl w:val="1"/>
          <w:numId w:val="9"/>
        </w:numPr>
        <w:tabs>
          <w:tab w:val="left" w:pos="1225"/>
        </w:tabs>
        <w:snapToGrid w:val="0"/>
        <w:spacing w:line="360" w:lineRule="auto"/>
        <w:ind w:left="0" w:firstLine="460" w:firstLineChars="200"/>
        <w:rPr>
          <w:sz w:val="23"/>
          <w:szCs w:val="23"/>
        </w:rPr>
      </w:pPr>
      <w:r>
        <w:rPr>
          <w:rFonts w:hint="eastAsia"/>
          <w:sz w:val="23"/>
          <w:szCs w:val="23"/>
        </w:rPr>
        <w:t>如果投标人在投标文件有效期内撤回投标文件，则按本须知第13</w:t>
      </w:r>
      <w:r>
        <w:rPr>
          <w:sz w:val="23"/>
          <w:szCs w:val="23"/>
        </w:rPr>
        <w:t>.</w:t>
      </w:r>
      <w:r>
        <w:rPr>
          <w:rFonts w:hint="eastAsia"/>
          <w:sz w:val="23"/>
          <w:szCs w:val="23"/>
        </w:rPr>
        <w:t>6款的规定没收其投标担保。</w:t>
      </w:r>
    </w:p>
    <w:p>
      <w:pPr>
        <w:snapToGrid w:val="0"/>
        <w:spacing w:line="360" w:lineRule="auto"/>
        <w:ind w:firstLine="460" w:firstLineChars="200"/>
        <w:jc w:val="center"/>
        <w:rPr>
          <w:sz w:val="23"/>
          <w:szCs w:val="23"/>
        </w:rPr>
      </w:pPr>
      <w:r>
        <w:rPr>
          <w:sz w:val="23"/>
          <w:szCs w:val="23"/>
        </w:rPr>
        <w:t>E、开标与评标</w:t>
      </w:r>
    </w:p>
    <w:p>
      <w:pPr>
        <w:pStyle w:val="27"/>
        <w:numPr>
          <w:ilvl w:val="0"/>
          <w:numId w:val="9"/>
        </w:numPr>
        <w:tabs>
          <w:tab w:val="left" w:pos="1085"/>
        </w:tabs>
        <w:snapToGrid w:val="0"/>
        <w:spacing w:line="360" w:lineRule="auto"/>
        <w:ind w:left="0" w:firstLine="460" w:firstLineChars="200"/>
        <w:rPr>
          <w:sz w:val="23"/>
          <w:szCs w:val="23"/>
        </w:rPr>
      </w:pPr>
      <w:r>
        <w:rPr>
          <w:sz w:val="23"/>
          <w:szCs w:val="23"/>
        </w:rPr>
        <w:t>开标</w:t>
      </w:r>
    </w:p>
    <w:p>
      <w:pPr>
        <w:pStyle w:val="27"/>
        <w:numPr>
          <w:ilvl w:val="1"/>
          <w:numId w:val="9"/>
        </w:numPr>
        <w:tabs>
          <w:tab w:val="left" w:pos="1225"/>
        </w:tabs>
        <w:snapToGrid w:val="0"/>
        <w:spacing w:line="360" w:lineRule="auto"/>
        <w:ind w:left="0" w:firstLine="460" w:firstLineChars="200"/>
        <w:rPr>
          <w:sz w:val="23"/>
          <w:szCs w:val="23"/>
        </w:rPr>
      </w:pPr>
      <w:r>
        <w:rPr>
          <w:sz w:val="23"/>
          <w:szCs w:val="23"/>
        </w:rPr>
        <w:t>开标时间和地点</w:t>
      </w:r>
    </w:p>
    <w:p>
      <w:pPr>
        <w:snapToGrid w:val="0"/>
        <w:spacing w:line="360" w:lineRule="auto"/>
        <w:ind w:firstLine="460" w:firstLineChars="200"/>
        <w:rPr>
          <w:sz w:val="23"/>
          <w:szCs w:val="23"/>
        </w:rPr>
      </w:pPr>
      <w:r>
        <w:rPr>
          <w:sz w:val="23"/>
          <w:szCs w:val="23"/>
        </w:rPr>
        <w:t>招标人在招标文件规定的投标截止时间（开标时间）和投标人须知前附表规定的地点公开开标，并要求所有投标人的法定代表人或其委托代理人准时参加。投标人若未派法定代表人或委托代理人出席开标活动，视为该投标人默认开标结果。</w:t>
      </w:r>
    </w:p>
    <w:p>
      <w:pPr>
        <w:pStyle w:val="27"/>
        <w:numPr>
          <w:ilvl w:val="1"/>
          <w:numId w:val="9"/>
        </w:numPr>
        <w:tabs>
          <w:tab w:val="left" w:pos="1225"/>
        </w:tabs>
        <w:snapToGrid w:val="0"/>
        <w:spacing w:line="360" w:lineRule="auto"/>
        <w:ind w:left="0" w:firstLine="460" w:firstLineChars="200"/>
        <w:rPr>
          <w:sz w:val="23"/>
          <w:szCs w:val="23"/>
        </w:rPr>
      </w:pPr>
      <w:r>
        <w:rPr>
          <w:sz w:val="23"/>
          <w:szCs w:val="23"/>
        </w:rPr>
        <w:t>开标程序</w:t>
      </w:r>
    </w:p>
    <w:p>
      <w:pPr>
        <w:pStyle w:val="27"/>
        <w:tabs>
          <w:tab w:val="left" w:pos="1505"/>
        </w:tabs>
        <w:snapToGrid w:val="0"/>
        <w:spacing w:line="360" w:lineRule="auto"/>
        <w:ind w:left="0" w:firstLine="460" w:firstLineChars="200"/>
        <w:rPr>
          <w:sz w:val="23"/>
          <w:szCs w:val="23"/>
        </w:rPr>
      </w:pPr>
      <w:r>
        <w:rPr>
          <w:rFonts w:hint="eastAsia"/>
          <w:sz w:val="23"/>
          <w:szCs w:val="23"/>
          <w:lang w:val="en-US"/>
        </w:rPr>
        <w:t>17.2.1</w:t>
      </w:r>
      <w:r>
        <w:rPr>
          <w:sz w:val="23"/>
          <w:szCs w:val="23"/>
        </w:rPr>
        <w:t>主持人按下列程序进行开标：</w:t>
      </w:r>
    </w:p>
    <w:p>
      <w:pPr>
        <w:pStyle w:val="27"/>
        <w:numPr>
          <w:ilvl w:val="0"/>
          <w:numId w:val="10"/>
        </w:numPr>
        <w:tabs>
          <w:tab w:val="left" w:pos="1365"/>
        </w:tabs>
        <w:snapToGrid w:val="0"/>
        <w:spacing w:line="360" w:lineRule="auto"/>
        <w:ind w:left="0" w:firstLine="460" w:firstLineChars="200"/>
        <w:rPr>
          <w:sz w:val="23"/>
          <w:szCs w:val="23"/>
        </w:rPr>
      </w:pPr>
      <w:r>
        <w:rPr>
          <w:sz w:val="23"/>
          <w:szCs w:val="23"/>
        </w:rPr>
        <w:t>宣布开标纪律；</w:t>
      </w:r>
    </w:p>
    <w:p>
      <w:pPr>
        <w:pStyle w:val="27"/>
        <w:numPr>
          <w:ilvl w:val="0"/>
          <w:numId w:val="10"/>
        </w:numPr>
        <w:tabs>
          <w:tab w:val="left" w:pos="1365"/>
        </w:tabs>
        <w:snapToGrid w:val="0"/>
        <w:spacing w:line="360" w:lineRule="auto"/>
        <w:ind w:left="0" w:firstLine="460" w:firstLineChars="200"/>
        <w:rPr>
          <w:sz w:val="23"/>
          <w:szCs w:val="23"/>
        </w:rPr>
      </w:pPr>
      <w:r>
        <w:rPr>
          <w:sz w:val="23"/>
          <w:szCs w:val="23"/>
        </w:rPr>
        <w:t>公布在投标截止时间前递交投标文件的投标人数量；</w:t>
      </w:r>
    </w:p>
    <w:p>
      <w:pPr>
        <w:pStyle w:val="27"/>
        <w:numPr>
          <w:ilvl w:val="0"/>
          <w:numId w:val="10"/>
        </w:numPr>
        <w:tabs>
          <w:tab w:val="left" w:pos="1365"/>
        </w:tabs>
        <w:snapToGrid w:val="0"/>
        <w:spacing w:line="360" w:lineRule="auto"/>
        <w:ind w:left="0" w:firstLine="456" w:firstLineChars="200"/>
        <w:rPr>
          <w:sz w:val="23"/>
          <w:szCs w:val="23"/>
        </w:rPr>
      </w:pPr>
      <w:r>
        <w:rPr>
          <w:spacing w:val="-1"/>
          <w:sz w:val="23"/>
          <w:szCs w:val="23"/>
        </w:rPr>
        <w:t>按照投标人须知前附表规定由投标人推选的代表检查投标文件的密</w:t>
      </w:r>
      <w:r>
        <w:rPr>
          <w:sz w:val="23"/>
          <w:szCs w:val="23"/>
        </w:rPr>
        <w:t>封情况；</w:t>
      </w:r>
    </w:p>
    <w:p>
      <w:pPr>
        <w:pStyle w:val="27"/>
        <w:numPr>
          <w:ilvl w:val="0"/>
          <w:numId w:val="10"/>
        </w:numPr>
        <w:tabs>
          <w:tab w:val="left" w:pos="1365"/>
        </w:tabs>
        <w:snapToGrid w:val="0"/>
        <w:spacing w:line="360" w:lineRule="auto"/>
        <w:ind w:left="0" w:firstLine="456" w:firstLineChars="200"/>
        <w:rPr>
          <w:sz w:val="23"/>
          <w:szCs w:val="23"/>
        </w:rPr>
      </w:pPr>
      <w:r>
        <w:rPr>
          <w:spacing w:val="-1"/>
          <w:sz w:val="23"/>
          <w:szCs w:val="23"/>
        </w:rPr>
        <w:t>按照投标人须知前附表规定的开标顺序当众开标，公布标段名称、</w:t>
      </w:r>
      <w:r>
        <w:rPr>
          <w:sz w:val="23"/>
          <w:szCs w:val="23"/>
        </w:rPr>
        <w:t>投标人名称、投标保证金的递交情况、投标报价、工期及其他内容，并记录在案；</w:t>
      </w:r>
    </w:p>
    <w:p>
      <w:pPr>
        <w:pStyle w:val="27"/>
        <w:numPr>
          <w:ilvl w:val="0"/>
          <w:numId w:val="10"/>
        </w:numPr>
        <w:tabs>
          <w:tab w:val="left" w:pos="1365"/>
        </w:tabs>
        <w:snapToGrid w:val="0"/>
        <w:spacing w:line="360" w:lineRule="auto"/>
        <w:ind w:left="0" w:firstLine="460" w:firstLineChars="200"/>
        <w:rPr>
          <w:sz w:val="23"/>
          <w:szCs w:val="23"/>
        </w:rPr>
      </w:pPr>
      <w:r>
        <w:rPr>
          <w:sz w:val="23"/>
          <w:szCs w:val="23"/>
        </w:rPr>
        <w:t>计算并宣布评标基准价；</w:t>
      </w:r>
    </w:p>
    <w:p>
      <w:pPr>
        <w:pStyle w:val="27"/>
        <w:numPr>
          <w:ilvl w:val="0"/>
          <w:numId w:val="10"/>
        </w:numPr>
        <w:tabs>
          <w:tab w:val="left" w:pos="1365"/>
        </w:tabs>
        <w:snapToGrid w:val="0"/>
        <w:spacing w:line="360" w:lineRule="auto"/>
        <w:ind w:left="0" w:firstLine="456" w:firstLineChars="200"/>
        <w:rPr>
          <w:sz w:val="23"/>
          <w:szCs w:val="23"/>
        </w:rPr>
      </w:pPr>
      <w:r>
        <w:rPr>
          <w:spacing w:val="-1"/>
          <w:sz w:val="23"/>
          <w:szCs w:val="23"/>
        </w:rPr>
        <w:t>投标人代表、招标人代表、记录人等有关人员在开标记录上签字确</w:t>
      </w:r>
      <w:r>
        <w:rPr>
          <w:sz w:val="23"/>
          <w:szCs w:val="23"/>
        </w:rPr>
        <w:t>认；</w:t>
      </w:r>
    </w:p>
    <w:p>
      <w:pPr>
        <w:pStyle w:val="27"/>
        <w:numPr>
          <w:ilvl w:val="0"/>
          <w:numId w:val="10"/>
        </w:numPr>
        <w:tabs>
          <w:tab w:val="left" w:pos="1365"/>
        </w:tabs>
        <w:snapToGrid w:val="0"/>
        <w:spacing w:line="360" w:lineRule="auto"/>
        <w:ind w:left="0" w:firstLine="460" w:firstLineChars="200"/>
        <w:rPr>
          <w:sz w:val="23"/>
          <w:szCs w:val="23"/>
        </w:rPr>
      </w:pPr>
      <w:r>
        <w:rPr>
          <w:sz w:val="23"/>
          <w:szCs w:val="23"/>
        </w:rPr>
        <w:t>开标结束。</w:t>
      </w:r>
    </w:p>
    <w:p>
      <w:pPr>
        <w:pStyle w:val="27"/>
        <w:tabs>
          <w:tab w:val="left" w:pos="1505"/>
          <w:tab w:val="left" w:pos="2011"/>
        </w:tabs>
        <w:snapToGrid w:val="0"/>
        <w:spacing w:line="360" w:lineRule="auto"/>
        <w:ind w:left="0" w:firstLine="456" w:firstLineChars="200"/>
        <w:rPr>
          <w:sz w:val="23"/>
          <w:szCs w:val="23"/>
        </w:rPr>
      </w:pPr>
      <w:r>
        <w:rPr>
          <w:rFonts w:hint="eastAsia"/>
          <w:spacing w:val="-1"/>
          <w:sz w:val="23"/>
          <w:szCs w:val="23"/>
          <w:lang w:val="en-US"/>
        </w:rPr>
        <w:t>17.2.2</w:t>
      </w:r>
      <w:r>
        <w:rPr>
          <w:spacing w:val="-1"/>
          <w:sz w:val="23"/>
          <w:szCs w:val="23"/>
        </w:rPr>
        <w:t>除已按本须知规定要求撤回的投标文件不予开标之外，招标人开标时首先进行完备性审查，包括：</w:t>
      </w:r>
    </w:p>
    <w:p>
      <w:pPr>
        <w:pStyle w:val="27"/>
        <w:numPr>
          <w:ilvl w:val="0"/>
          <w:numId w:val="11"/>
        </w:numPr>
        <w:tabs>
          <w:tab w:val="left" w:pos="1285"/>
        </w:tabs>
        <w:snapToGrid w:val="0"/>
        <w:spacing w:line="360" w:lineRule="auto"/>
        <w:ind w:left="0" w:firstLine="460" w:firstLineChars="200"/>
        <w:rPr>
          <w:sz w:val="23"/>
          <w:szCs w:val="23"/>
        </w:rPr>
      </w:pPr>
      <w:r>
        <w:rPr>
          <w:sz w:val="23"/>
          <w:szCs w:val="23"/>
        </w:rPr>
        <w:t>投标文件按招标文件规定进行</w:t>
      </w:r>
      <w:r>
        <w:rPr>
          <w:rFonts w:hint="eastAsia"/>
          <w:sz w:val="23"/>
          <w:szCs w:val="23"/>
        </w:rPr>
        <w:t>密封</w:t>
      </w:r>
      <w:r>
        <w:rPr>
          <w:sz w:val="23"/>
          <w:szCs w:val="23"/>
        </w:rPr>
        <w:t>；</w:t>
      </w:r>
    </w:p>
    <w:p>
      <w:pPr>
        <w:pStyle w:val="27"/>
        <w:numPr>
          <w:ilvl w:val="0"/>
          <w:numId w:val="11"/>
        </w:numPr>
        <w:tabs>
          <w:tab w:val="left" w:pos="1285"/>
        </w:tabs>
        <w:snapToGrid w:val="0"/>
        <w:spacing w:line="360" w:lineRule="auto"/>
        <w:ind w:left="0" w:firstLine="460" w:firstLineChars="200"/>
        <w:rPr>
          <w:sz w:val="23"/>
          <w:szCs w:val="23"/>
        </w:rPr>
      </w:pPr>
      <w:r>
        <w:rPr>
          <w:sz w:val="23"/>
          <w:szCs w:val="23"/>
        </w:rPr>
        <w:t>递交了投标担保；</w:t>
      </w:r>
    </w:p>
    <w:p>
      <w:pPr>
        <w:pStyle w:val="7"/>
        <w:numPr>
          <w:ilvl w:val="0"/>
          <w:numId w:val="11"/>
        </w:numPr>
        <w:tabs>
          <w:tab w:val="left" w:pos="1285"/>
        </w:tabs>
        <w:snapToGrid w:val="0"/>
        <w:spacing w:line="360" w:lineRule="auto"/>
        <w:ind w:left="0" w:firstLine="460" w:firstLineChars="200"/>
        <w:rPr>
          <w:sz w:val="23"/>
          <w:szCs w:val="23"/>
        </w:rPr>
      </w:pPr>
      <w:r>
        <w:rPr>
          <w:sz w:val="23"/>
          <w:szCs w:val="23"/>
        </w:rPr>
        <w:t>投标函按照招标文件规定签署并加盖公章；</w:t>
      </w:r>
    </w:p>
    <w:p>
      <w:pPr>
        <w:pStyle w:val="27"/>
        <w:numPr>
          <w:ilvl w:val="0"/>
          <w:numId w:val="11"/>
        </w:numPr>
        <w:tabs>
          <w:tab w:val="left" w:pos="1285"/>
        </w:tabs>
        <w:snapToGrid w:val="0"/>
        <w:spacing w:line="360" w:lineRule="auto"/>
        <w:ind w:left="0" w:firstLine="460" w:firstLineChars="200"/>
        <w:rPr>
          <w:sz w:val="23"/>
          <w:szCs w:val="23"/>
        </w:rPr>
      </w:pPr>
      <w:r>
        <w:rPr>
          <w:sz w:val="23"/>
          <w:szCs w:val="23"/>
        </w:rPr>
        <w:t>投标函中填报了投标报价，并能辩认其最终报价。</w:t>
      </w:r>
    </w:p>
    <w:p>
      <w:pPr>
        <w:snapToGrid w:val="0"/>
        <w:spacing w:line="360" w:lineRule="auto"/>
        <w:ind w:firstLine="460" w:firstLineChars="200"/>
        <w:rPr>
          <w:sz w:val="23"/>
          <w:szCs w:val="23"/>
        </w:rPr>
      </w:pPr>
      <w:r>
        <w:rPr>
          <w:sz w:val="23"/>
          <w:szCs w:val="23"/>
        </w:rPr>
        <w:t>上述任一项不符合的，在经监督机构代表现场核实确认后，视为不能通过投标文件完备性检查，招标人可当场宣布否决其投标。</w:t>
      </w:r>
    </w:p>
    <w:p>
      <w:pPr>
        <w:pStyle w:val="27"/>
        <w:tabs>
          <w:tab w:val="left" w:pos="1505"/>
        </w:tabs>
        <w:snapToGrid w:val="0"/>
        <w:spacing w:line="360" w:lineRule="auto"/>
        <w:ind w:left="0" w:firstLine="456" w:firstLineChars="200"/>
        <w:rPr>
          <w:sz w:val="23"/>
          <w:szCs w:val="23"/>
        </w:rPr>
      </w:pPr>
      <w:r>
        <w:rPr>
          <w:rFonts w:hint="eastAsia"/>
          <w:spacing w:val="-1"/>
          <w:sz w:val="23"/>
          <w:szCs w:val="23"/>
          <w:lang w:val="en-US"/>
        </w:rPr>
        <w:t>17.2.3</w:t>
      </w:r>
      <w:r>
        <w:rPr>
          <w:spacing w:val="-1"/>
          <w:sz w:val="23"/>
          <w:szCs w:val="23"/>
        </w:rPr>
        <w:t>在开标现场，招标人将按“评标办法”规定的原则计算并宣布评</w:t>
      </w:r>
      <w:r>
        <w:rPr>
          <w:sz w:val="23"/>
          <w:szCs w:val="23"/>
        </w:rPr>
        <w:t>标基准价。若招标人发现投标文件出现以下任一情况，其投标报价将不再参加评标基准价的计算：</w:t>
      </w:r>
    </w:p>
    <w:p>
      <w:pPr>
        <w:pStyle w:val="27"/>
        <w:numPr>
          <w:ilvl w:val="0"/>
          <w:numId w:val="12"/>
        </w:numPr>
        <w:tabs>
          <w:tab w:val="left" w:pos="1365"/>
        </w:tabs>
        <w:snapToGrid w:val="0"/>
        <w:spacing w:line="360" w:lineRule="auto"/>
        <w:ind w:left="0" w:firstLine="460" w:firstLineChars="200"/>
        <w:rPr>
          <w:sz w:val="23"/>
          <w:szCs w:val="23"/>
        </w:rPr>
      </w:pPr>
      <w:r>
        <w:rPr>
          <w:sz w:val="23"/>
          <w:szCs w:val="23"/>
        </w:rPr>
        <w:t>未在投标函上填写投标总价；</w:t>
      </w:r>
    </w:p>
    <w:p>
      <w:pPr>
        <w:pStyle w:val="27"/>
        <w:numPr>
          <w:ilvl w:val="0"/>
          <w:numId w:val="12"/>
        </w:numPr>
        <w:tabs>
          <w:tab w:val="left" w:pos="1365"/>
        </w:tabs>
        <w:snapToGrid w:val="0"/>
        <w:spacing w:line="360" w:lineRule="auto"/>
        <w:ind w:left="0" w:firstLine="460" w:firstLineChars="200"/>
        <w:rPr>
          <w:sz w:val="23"/>
          <w:szCs w:val="23"/>
        </w:rPr>
      </w:pPr>
      <w:r>
        <w:rPr>
          <w:sz w:val="23"/>
          <w:szCs w:val="23"/>
        </w:rPr>
        <w:t>投标报价或调价函中的报价超出招标人公布的最高投标限价（</w:t>
      </w:r>
      <w:r>
        <w:rPr>
          <w:spacing w:val="-18"/>
          <w:sz w:val="23"/>
          <w:szCs w:val="23"/>
        </w:rPr>
        <w:t>如</w:t>
      </w:r>
      <w:r>
        <w:rPr>
          <w:sz w:val="23"/>
          <w:szCs w:val="23"/>
        </w:rPr>
        <w:t>有</w:t>
      </w:r>
      <w:r>
        <w:rPr>
          <w:spacing w:val="-140"/>
          <w:sz w:val="23"/>
          <w:szCs w:val="23"/>
        </w:rPr>
        <w:t>）</w:t>
      </w:r>
      <w:r>
        <w:rPr>
          <w:sz w:val="23"/>
          <w:szCs w:val="23"/>
        </w:rPr>
        <w:t>；</w:t>
      </w:r>
    </w:p>
    <w:p>
      <w:pPr>
        <w:pStyle w:val="27"/>
        <w:numPr>
          <w:ilvl w:val="0"/>
          <w:numId w:val="12"/>
        </w:numPr>
        <w:tabs>
          <w:tab w:val="left" w:pos="1365"/>
        </w:tabs>
        <w:snapToGrid w:val="0"/>
        <w:spacing w:line="360" w:lineRule="auto"/>
        <w:ind w:left="0" w:firstLine="460" w:firstLineChars="200"/>
        <w:rPr>
          <w:sz w:val="23"/>
          <w:szCs w:val="23"/>
        </w:rPr>
      </w:pPr>
      <w:r>
        <w:rPr>
          <w:sz w:val="23"/>
          <w:szCs w:val="23"/>
        </w:rPr>
        <w:t>投标报价或调价函中报价的大写金额无法确定具体数值；</w:t>
      </w:r>
    </w:p>
    <w:p>
      <w:pPr>
        <w:snapToGrid w:val="0"/>
        <w:spacing w:line="360" w:lineRule="auto"/>
        <w:ind w:firstLine="460" w:firstLineChars="200"/>
        <w:rPr>
          <w:sz w:val="23"/>
          <w:szCs w:val="23"/>
        </w:rPr>
      </w:pPr>
      <w:r>
        <w:rPr>
          <w:sz w:val="23"/>
          <w:szCs w:val="23"/>
        </w:rPr>
        <w:t>如果投标人认为某一标段的评标基准价计算有误，有权在开标现场提</w:t>
      </w:r>
      <w:r>
        <w:rPr>
          <w:spacing w:val="-1"/>
          <w:sz w:val="23"/>
          <w:szCs w:val="23"/>
        </w:rPr>
        <w:t>出，经招标人当场核实确认之后，可重新宣布评标基准价。开标现场宣布的评标基准价除计算有误经评标委员会修正外，在整个评标期间保持不变，不</w:t>
      </w:r>
      <w:r>
        <w:rPr>
          <w:sz w:val="23"/>
          <w:szCs w:val="23"/>
        </w:rPr>
        <w:t>随任何因素发生变化。</w:t>
      </w:r>
    </w:p>
    <w:p>
      <w:pPr>
        <w:pStyle w:val="27"/>
        <w:tabs>
          <w:tab w:val="left" w:pos="1505"/>
        </w:tabs>
        <w:snapToGrid w:val="0"/>
        <w:spacing w:line="360" w:lineRule="auto"/>
        <w:ind w:left="0" w:firstLine="456" w:firstLineChars="200"/>
        <w:rPr>
          <w:sz w:val="23"/>
          <w:szCs w:val="23"/>
        </w:rPr>
      </w:pPr>
      <w:r>
        <w:rPr>
          <w:rFonts w:hint="eastAsia"/>
          <w:spacing w:val="-1"/>
          <w:sz w:val="23"/>
          <w:szCs w:val="23"/>
          <w:lang w:val="en-US"/>
        </w:rPr>
        <w:t>17.2.4</w:t>
      </w:r>
      <w:r>
        <w:rPr>
          <w:spacing w:val="-1"/>
          <w:sz w:val="23"/>
          <w:szCs w:val="23"/>
        </w:rPr>
        <w:t>若招标人宣读的内容与投标文件不符，投标人有权在开标现场提</w:t>
      </w:r>
      <w:r>
        <w:rPr>
          <w:sz w:val="23"/>
          <w:szCs w:val="23"/>
        </w:rPr>
        <w:t>出疑问，经招标人当场核查确认之后，可重新宣读其投标文件。若投标人现场未提出疑问，则认为投标人已确认招标人宣读的内容。</w:t>
      </w:r>
    </w:p>
    <w:p>
      <w:pPr>
        <w:pStyle w:val="27"/>
        <w:tabs>
          <w:tab w:val="left" w:pos="1574"/>
        </w:tabs>
        <w:snapToGrid w:val="0"/>
        <w:spacing w:line="360" w:lineRule="auto"/>
        <w:ind w:left="0" w:firstLine="460" w:firstLineChars="200"/>
        <w:rPr>
          <w:sz w:val="23"/>
          <w:szCs w:val="23"/>
        </w:rPr>
      </w:pPr>
      <w:r>
        <w:rPr>
          <w:sz w:val="23"/>
          <w:szCs w:val="23"/>
        </w:rPr>
        <w:t>17.</w:t>
      </w:r>
      <w:r>
        <w:rPr>
          <w:rFonts w:hint="eastAsia"/>
          <w:sz w:val="23"/>
          <w:szCs w:val="23"/>
        </w:rPr>
        <w:t>3</w:t>
      </w:r>
      <w:r>
        <w:rPr>
          <w:sz w:val="23"/>
          <w:szCs w:val="23"/>
        </w:rPr>
        <w:t xml:space="preserve"> 开标异议</w:t>
      </w:r>
    </w:p>
    <w:p>
      <w:pPr>
        <w:snapToGrid w:val="0"/>
        <w:spacing w:line="360" w:lineRule="auto"/>
        <w:ind w:firstLine="460" w:firstLineChars="200"/>
        <w:rPr>
          <w:sz w:val="23"/>
          <w:szCs w:val="23"/>
        </w:rPr>
      </w:pPr>
      <w:r>
        <w:rPr>
          <w:sz w:val="23"/>
          <w:szCs w:val="23"/>
        </w:rPr>
        <w:t>投标人对开标有异议的，应在开标现场提出，招标人当场作出答复，并制作记录，有异议的投标人代表、招标人代表、记录人等有关人员在记录上签字确认。</w:t>
      </w:r>
    </w:p>
    <w:p>
      <w:pPr>
        <w:pStyle w:val="27"/>
        <w:numPr>
          <w:ilvl w:val="0"/>
          <w:numId w:val="9"/>
        </w:numPr>
        <w:tabs>
          <w:tab w:val="left" w:pos="1085"/>
        </w:tabs>
        <w:snapToGrid w:val="0"/>
        <w:spacing w:line="360" w:lineRule="auto"/>
        <w:ind w:left="0" w:firstLine="460" w:firstLineChars="200"/>
        <w:rPr>
          <w:sz w:val="23"/>
          <w:szCs w:val="23"/>
        </w:rPr>
      </w:pPr>
      <w:r>
        <w:rPr>
          <w:sz w:val="23"/>
          <w:szCs w:val="23"/>
        </w:rPr>
        <w:t>评标</w:t>
      </w:r>
    </w:p>
    <w:p>
      <w:pPr>
        <w:pStyle w:val="27"/>
        <w:numPr>
          <w:ilvl w:val="1"/>
          <w:numId w:val="9"/>
        </w:numPr>
        <w:tabs>
          <w:tab w:val="left" w:pos="1225"/>
        </w:tabs>
        <w:snapToGrid w:val="0"/>
        <w:spacing w:line="360" w:lineRule="auto"/>
        <w:ind w:left="0" w:firstLine="460" w:firstLineChars="200"/>
        <w:rPr>
          <w:sz w:val="23"/>
          <w:szCs w:val="23"/>
        </w:rPr>
      </w:pPr>
      <w:r>
        <w:rPr>
          <w:sz w:val="23"/>
          <w:szCs w:val="23"/>
        </w:rPr>
        <w:t>评标委员会</w:t>
      </w:r>
    </w:p>
    <w:p>
      <w:pPr>
        <w:pStyle w:val="27"/>
        <w:tabs>
          <w:tab w:val="left" w:pos="1505"/>
        </w:tabs>
        <w:snapToGrid w:val="0"/>
        <w:spacing w:line="360" w:lineRule="auto"/>
        <w:ind w:left="0" w:firstLine="460" w:firstLineChars="200"/>
        <w:rPr>
          <w:sz w:val="23"/>
          <w:szCs w:val="23"/>
        </w:rPr>
      </w:pPr>
      <w:r>
        <w:rPr>
          <w:rFonts w:hint="eastAsia"/>
          <w:sz w:val="23"/>
          <w:szCs w:val="23"/>
          <w:lang w:val="en-US"/>
        </w:rPr>
        <w:t>18.1.1</w:t>
      </w:r>
      <w:r>
        <w:rPr>
          <w:sz w:val="23"/>
          <w:szCs w:val="23"/>
        </w:rPr>
        <w:t>评标委员会成员有下列情形之一的，应主动提出回避：</w:t>
      </w:r>
    </w:p>
    <w:p>
      <w:pPr>
        <w:pStyle w:val="27"/>
        <w:numPr>
          <w:ilvl w:val="0"/>
          <w:numId w:val="13"/>
        </w:numPr>
        <w:tabs>
          <w:tab w:val="left" w:pos="1365"/>
        </w:tabs>
        <w:snapToGrid w:val="0"/>
        <w:spacing w:line="360" w:lineRule="auto"/>
        <w:ind w:left="0" w:firstLine="460" w:firstLineChars="200"/>
        <w:jc w:val="left"/>
        <w:rPr>
          <w:sz w:val="23"/>
          <w:szCs w:val="23"/>
        </w:rPr>
      </w:pPr>
      <w:r>
        <w:rPr>
          <w:sz w:val="23"/>
          <w:szCs w:val="23"/>
        </w:rPr>
        <w:t>与投标人法定代表人或其委托代理人有近亲属关系；</w:t>
      </w:r>
    </w:p>
    <w:p>
      <w:pPr>
        <w:pStyle w:val="27"/>
        <w:numPr>
          <w:ilvl w:val="0"/>
          <w:numId w:val="13"/>
        </w:numPr>
        <w:tabs>
          <w:tab w:val="left" w:pos="1365"/>
        </w:tabs>
        <w:snapToGrid w:val="0"/>
        <w:spacing w:line="360" w:lineRule="auto"/>
        <w:ind w:left="0" w:firstLine="460" w:firstLineChars="200"/>
        <w:jc w:val="left"/>
        <w:rPr>
          <w:sz w:val="23"/>
          <w:szCs w:val="23"/>
        </w:rPr>
      </w:pPr>
      <w:r>
        <w:rPr>
          <w:sz w:val="23"/>
          <w:szCs w:val="23"/>
        </w:rPr>
        <w:t>为投标人的工作人员或退休人员；</w:t>
      </w:r>
    </w:p>
    <w:p>
      <w:pPr>
        <w:pStyle w:val="27"/>
        <w:numPr>
          <w:ilvl w:val="0"/>
          <w:numId w:val="13"/>
        </w:numPr>
        <w:tabs>
          <w:tab w:val="left" w:pos="1365"/>
        </w:tabs>
        <w:snapToGrid w:val="0"/>
        <w:spacing w:line="360" w:lineRule="auto"/>
        <w:ind w:left="0" w:firstLine="460" w:firstLineChars="200"/>
        <w:jc w:val="left"/>
        <w:rPr>
          <w:sz w:val="23"/>
          <w:szCs w:val="23"/>
        </w:rPr>
      </w:pPr>
      <w:r>
        <w:rPr>
          <w:sz w:val="23"/>
          <w:szCs w:val="23"/>
        </w:rPr>
        <w:t>与投标人有其他利害关系，可能影响评标活动公正性；</w:t>
      </w:r>
    </w:p>
    <w:p>
      <w:pPr>
        <w:pStyle w:val="27"/>
        <w:numPr>
          <w:ilvl w:val="0"/>
          <w:numId w:val="13"/>
        </w:numPr>
        <w:tabs>
          <w:tab w:val="left" w:pos="1225"/>
        </w:tabs>
        <w:snapToGrid w:val="0"/>
        <w:spacing w:line="360" w:lineRule="auto"/>
        <w:ind w:left="0" w:firstLine="456" w:firstLineChars="200"/>
        <w:jc w:val="left"/>
        <w:rPr>
          <w:sz w:val="23"/>
          <w:szCs w:val="23"/>
        </w:rPr>
      </w:pPr>
      <w:r>
        <w:rPr>
          <w:spacing w:val="-1"/>
          <w:sz w:val="23"/>
          <w:szCs w:val="23"/>
        </w:rPr>
        <w:t>在与招标投标有关的活动中有过违法违规行为、曾受过行政处罚或</w:t>
      </w:r>
      <w:r>
        <w:rPr>
          <w:sz w:val="23"/>
          <w:szCs w:val="23"/>
        </w:rPr>
        <w:t>刑事处罚。</w:t>
      </w:r>
    </w:p>
    <w:p>
      <w:pPr>
        <w:pStyle w:val="7"/>
        <w:tabs>
          <w:tab w:val="left" w:pos="1365"/>
        </w:tabs>
        <w:snapToGrid w:val="0"/>
        <w:spacing w:line="360" w:lineRule="auto"/>
        <w:ind w:left="0" w:firstLine="456" w:firstLineChars="200"/>
        <w:rPr>
          <w:sz w:val="23"/>
          <w:szCs w:val="23"/>
        </w:rPr>
      </w:pPr>
      <w:r>
        <w:rPr>
          <w:rFonts w:hint="eastAsia"/>
          <w:spacing w:val="-1"/>
          <w:sz w:val="23"/>
          <w:szCs w:val="23"/>
          <w:lang w:val="en-US"/>
        </w:rPr>
        <w:t>18.1.2</w:t>
      </w:r>
      <w:r>
        <w:rPr>
          <w:spacing w:val="-1"/>
          <w:sz w:val="23"/>
          <w:szCs w:val="23"/>
        </w:rPr>
        <w:t>评标过程中，评标委员会成员有回避事由、擅离职守或因健康等原</w:t>
      </w:r>
      <w:r>
        <w:rPr>
          <w:sz w:val="23"/>
          <w:szCs w:val="23"/>
        </w:rPr>
        <w:t>因不能继续评标的，招标人有权更换。被更换的评标委员会成员作出的评审结论无效，由更换后的评标委员会成员重新进行评审。</w:t>
      </w:r>
    </w:p>
    <w:p>
      <w:pPr>
        <w:pStyle w:val="27"/>
        <w:numPr>
          <w:ilvl w:val="1"/>
          <w:numId w:val="9"/>
        </w:numPr>
        <w:tabs>
          <w:tab w:val="left" w:pos="1225"/>
        </w:tabs>
        <w:snapToGrid w:val="0"/>
        <w:spacing w:line="360" w:lineRule="auto"/>
        <w:ind w:left="0" w:firstLine="460" w:firstLineChars="200"/>
        <w:rPr>
          <w:sz w:val="23"/>
          <w:szCs w:val="23"/>
        </w:rPr>
      </w:pPr>
      <w:r>
        <w:rPr>
          <w:sz w:val="23"/>
          <w:szCs w:val="23"/>
        </w:rPr>
        <w:t>评标原则</w:t>
      </w:r>
    </w:p>
    <w:p>
      <w:pPr>
        <w:pStyle w:val="27"/>
        <w:numPr>
          <w:ilvl w:val="1"/>
          <w:numId w:val="9"/>
        </w:numPr>
        <w:tabs>
          <w:tab w:val="left" w:pos="1225"/>
        </w:tabs>
        <w:snapToGrid w:val="0"/>
        <w:spacing w:line="360" w:lineRule="auto"/>
        <w:ind w:left="0" w:firstLine="460" w:firstLineChars="200"/>
        <w:rPr>
          <w:sz w:val="23"/>
          <w:szCs w:val="23"/>
        </w:rPr>
      </w:pPr>
      <w:r>
        <w:rPr>
          <w:sz w:val="23"/>
          <w:szCs w:val="23"/>
        </w:rPr>
        <w:t>评标</w:t>
      </w:r>
    </w:p>
    <w:p>
      <w:pPr>
        <w:pStyle w:val="27"/>
        <w:tabs>
          <w:tab w:val="left" w:pos="1505"/>
        </w:tabs>
        <w:snapToGrid w:val="0"/>
        <w:spacing w:line="360" w:lineRule="auto"/>
        <w:ind w:left="0" w:firstLine="456" w:firstLineChars="200"/>
        <w:rPr>
          <w:sz w:val="23"/>
          <w:szCs w:val="23"/>
        </w:rPr>
      </w:pPr>
      <w:r>
        <w:rPr>
          <w:spacing w:val="-1"/>
          <w:sz w:val="23"/>
          <w:szCs w:val="23"/>
        </w:rPr>
        <w:t>评标委员会按照第三章“评标办法”规定的方法、评审因素、标</w:t>
      </w:r>
      <w:r>
        <w:rPr>
          <w:sz w:val="23"/>
          <w:szCs w:val="23"/>
        </w:rPr>
        <w:t>准和程序对投标文件进行评审。第三章“评标办法”没有规定的方法、评审因素和标准，不作为评标依据。</w:t>
      </w:r>
    </w:p>
    <w:p>
      <w:pPr>
        <w:pStyle w:val="27"/>
        <w:numPr>
          <w:ilvl w:val="0"/>
          <w:numId w:val="9"/>
        </w:numPr>
        <w:tabs>
          <w:tab w:val="left" w:pos="1085"/>
        </w:tabs>
        <w:snapToGrid w:val="0"/>
        <w:spacing w:line="360" w:lineRule="auto"/>
        <w:ind w:left="0" w:firstLine="460" w:firstLineChars="200"/>
        <w:rPr>
          <w:sz w:val="23"/>
          <w:szCs w:val="23"/>
        </w:rPr>
      </w:pPr>
      <w:r>
        <w:rPr>
          <w:sz w:val="23"/>
          <w:szCs w:val="23"/>
        </w:rPr>
        <w:t>合同授予</w:t>
      </w:r>
    </w:p>
    <w:p>
      <w:pPr>
        <w:pStyle w:val="27"/>
        <w:numPr>
          <w:ilvl w:val="1"/>
          <w:numId w:val="9"/>
        </w:numPr>
        <w:tabs>
          <w:tab w:val="left" w:pos="1225"/>
        </w:tabs>
        <w:snapToGrid w:val="0"/>
        <w:spacing w:line="360" w:lineRule="auto"/>
        <w:ind w:left="0" w:firstLine="460" w:firstLineChars="200"/>
        <w:rPr>
          <w:sz w:val="23"/>
          <w:szCs w:val="23"/>
        </w:rPr>
      </w:pPr>
      <w:r>
        <w:rPr>
          <w:sz w:val="23"/>
          <w:szCs w:val="23"/>
        </w:rPr>
        <w:t>中标候选人公示</w:t>
      </w:r>
    </w:p>
    <w:p>
      <w:pPr>
        <w:snapToGrid w:val="0"/>
        <w:spacing w:line="360" w:lineRule="auto"/>
        <w:ind w:firstLine="460" w:firstLineChars="200"/>
        <w:rPr>
          <w:sz w:val="23"/>
          <w:szCs w:val="23"/>
        </w:rPr>
      </w:pPr>
      <w:r>
        <w:rPr>
          <w:sz w:val="23"/>
          <w:szCs w:val="23"/>
        </w:rPr>
        <w:t>招标人在收到评标报告之日起 3 日内，按照投标人须知前附表规定的公示媒介和期限公示中标候选人，公示期不得少于 3 日。</w:t>
      </w:r>
    </w:p>
    <w:p>
      <w:pPr>
        <w:pStyle w:val="27"/>
        <w:numPr>
          <w:ilvl w:val="1"/>
          <w:numId w:val="9"/>
        </w:numPr>
        <w:tabs>
          <w:tab w:val="left" w:pos="1225"/>
        </w:tabs>
        <w:snapToGrid w:val="0"/>
        <w:spacing w:line="360" w:lineRule="auto"/>
        <w:ind w:left="0" w:firstLine="460" w:firstLineChars="200"/>
        <w:rPr>
          <w:sz w:val="23"/>
          <w:szCs w:val="23"/>
        </w:rPr>
      </w:pPr>
      <w:r>
        <w:rPr>
          <w:sz w:val="23"/>
          <w:szCs w:val="23"/>
        </w:rPr>
        <w:t>评标结果异议</w:t>
      </w:r>
    </w:p>
    <w:p>
      <w:pPr>
        <w:snapToGrid w:val="0"/>
        <w:spacing w:line="360" w:lineRule="auto"/>
        <w:ind w:firstLine="460" w:firstLineChars="200"/>
        <w:rPr>
          <w:sz w:val="23"/>
          <w:szCs w:val="23"/>
        </w:rPr>
      </w:pPr>
      <w:r>
        <w:rPr>
          <w:sz w:val="23"/>
          <w:szCs w:val="23"/>
        </w:rPr>
        <w:t>投标人或其他利害关系人对依法必须进行招标的项目的评标结果有异议</w:t>
      </w:r>
      <w:r>
        <w:rPr>
          <w:spacing w:val="1"/>
          <w:sz w:val="23"/>
          <w:szCs w:val="23"/>
        </w:rPr>
        <w:t xml:space="preserve">的，应在中标候选人公示期间提出。招标人将在收到异议之日起 </w:t>
      </w:r>
      <w:r>
        <w:rPr>
          <w:sz w:val="23"/>
          <w:szCs w:val="23"/>
        </w:rPr>
        <w:t>3</w:t>
      </w:r>
      <w:r>
        <w:rPr>
          <w:spacing w:val="4"/>
          <w:sz w:val="23"/>
          <w:szCs w:val="23"/>
        </w:rPr>
        <w:t xml:space="preserve"> 日内作出</w:t>
      </w:r>
      <w:r>
        <w:rPr>
          <w:sz w:val="23"/>
          <w:szCs w:val="23"/>
        </w:rPr>
        <w:t>答复；作出答复前，将暂停招标投标活动。</w:t>
      </w:r>
    </w:p>
    <w:p>
      <w:pPr>
        <w:snapToGrid w:val="0"/>
        <w:spacing w:line="360" w:lineRule="auto"/>
        <w:ind w:firstLine="460" w:firstLineChars="200"/>
        <w:rPr>
          <w:sz w:val="23"/>
          <w:szCs w:val="23"/>
        </w:rPr>
      </w:pPr>
      <w:r>
        <w:rPr>
          <w:sz w:val="23"/>
          <w:szCs w:val="23"/>
        </w:rPr>
        <w:t>19.3 中标候选人履约能力审查</w:t>
      </w:r>
    </w:p>
    <w:p>
      <w:pPr>
        <w:snapToGrid w:val="0"/>
        <w:spacing w:line="360" w:lineRule="auto"/>
        <w:ind w:firstLine="460" w:firstLineChars="200"/>
        <w:rPr>
          <w:sz w:val="23"/>
          <w:szCs w:val="23"/>
        </w:rPr>
      </w:pPr>
      <w:r>
        <w:rPr>
          <w:sz w:val="23"/>
          <w:szCs w:val="23"/>
        </w:rPr>
        <w:t>中标候选人的经营、财务状况发生较大变化或存在违法行为，招标人认为可能影响其履约能力的，将在发出中标通知书前提请原评标委员会按照招标文件规定的标准和方法进行审查确认。</w:t>
      </w:r>
    </w:p>
    <w:p>
      <w:pPr>
        <w:pStyle w:val="27"/>
        <w:numPr>
          <w:ilvl w:val="1"/>
          <w:numId w:val="14"/>
        </w:numPr>
        <w:tabs>
          <w:tab w:val="left" w:pos="1225"/>
        </w:tabs>
        <w:snapToGrid w:val="0"/>
        <w:spacing w:line="360" w:lineRule="auto"/>
        <w:ind w:left="0" w:firstLine="460" w:firstLineChars="200"/>
        <w:rPr>
          <w:sz w:val="23"/>
          <w:szCs w:val="23"/>
        </w:rPr>
      </w:pPr>
      <w:r>
        <w:rPr>
          <w:sz w:val="23"/>
          <w:szCs w:val="23"/>
        </w:rPr>
        <w:t>定标</w:t>
      </w:r>
    </w:p>
    <w:p>
      <w:pPr>
        <w:snapToGrid w:val="0"/>
        <w:spacing w:line="360" w:lineRule="auto"/>
        <w:ind w:firstLine="460" w:firstLineChars="200"/>
        <w:rPr>
          <w:sz w:val="23"/>
          <w:szCs w:val="23"/>
        </w:rPr>
      </w:pPr>
      <w:r>
        <w:rPr>
          <w:sz w:val="23"/>
          <w:szCs w:val="23"/>
        </w:rPr>
        <w:t>按照投标人须知前附表的规定，招标人或招标人授权的评标委员会依法确定中标人。</w:t>
      </w:r>
    </w:p>
    <w:p>
      <w:pPr>
        <w:pStyle w:val="27"/>
        <w:numPr>
          <w:ilvl w:val="1"/>
          <w:numId w:val="14"/>
        </w:numPr>
        <w:tabs>
          <w:tab w:val="left" w:pos="1225"/>
        </w:tabs>
        <w:snapToGrid w:val="0"/>
        <w:spacing w:line="360" w:lineRule="auto"/>
        <w:ind w:left="0" w:firstLine="460" w:firstLineChars="200"/>
        <w:rPr>
          <w:sz w:val="23"/>
          <w:szCs w:val="23"/>
        </w:rPr>
      </w:pPr>
      <w:r>
        <w:rPr>
          <w:sz w:val="23"/>
          <w:szCs w:val="23"/>
        </w:rPr>
        <w:t>中标通知</w:t>
      </w:r>
    </w:p>
    <w:p>
      <w:pPr>
        <w:snapToGrid w:val="0"/>
        <w:spacing w:line="360" w:lineRule="auto"/>
        <w:ind w:firstLine="460" w:firstLineChars="200"/>
        <w:rPr>
          <w:sz w:val="23"/>
          <w:szCs w:val="23"/>
        </w:rPr>
      </w:pPr>
      <w:r>
        <w:rPr>
          <w:sz w:val="23"/>
          <w:szCs w:val="23"/>
        </w:rPr>
        <w:t>在本章第 3.3 款规定的投标有效期内，招标人应向中标人发出中标通知书，同时将中标结果通知未中标的投标人。</w:t>
      </w:r>
    </w:p>
    <w:p>
      <w:pPr>
        <w:snapToGrid w:val="0"/>
        <w:spacing w:line="360" w:lineRule="auto"/>
        <w:ind w:firstLine="460" w:firstLineChars="200"/>
        <w:rPr>
          <w:sz w:val="23"/>
          <w:szCs w:val="23"/>
        </w:rPr>
      </w:pPr>
      <w:r>
        <w:rPr>
          <w:sz w:val="23"/>
          <w:szCs w:val="23"/>
        </w:rPr>
        <w:t>20 评标过程的保密</w:t>
      </w:r>
    </w:p>
    <w:p>
      <w:pPr>
        <w:pStyle w:val="27"/>
        <w:tabs>
          <w:tab w:val="left" w:pos="1225"/>
          <w:tab w:val="left" w:pos="1731"/>
        </w:tabs>
        <w:snapToGrid w:val="0"/>
        <w:spacing w:line="360" w:lineRule="auto"/>
        <w:ind w:left="0" w:firstLine="456" w:firstLineChars="200"/>
        <w:rPr>
          <w:sz w:val="23"/>
          <w:szCs w:val="23"/>
        </w:rPr>
      </w:pPr>
      <w:r>
        <w:rPr>
          <w:rFonts w:hint="eastAsia"/>
          <w:spacing w:val="-1"/>
          <w:sz w:val="23"/>
          <w:szCs w:val="23"/>
          <w:lang w:val="en-US"/>
        </w:rPr>
        <w:t>20.1</w:t>
      </w:r>
      <w:r>
        <w:rPr>
          <w:spacing w:val="-1"/>
          <w:sz w:val="23"/>
          <w:szCs w:val="23"/>
        </w:rPr>
        <w:t>公开开标后，直到签订合同书为止，凡有关投标文件的审查、澄清和评价工作，都应在保密的情况下进行，任何信息和资料均不得向投标人或其它人泄露。</w:t>
      </w:r>
    </w:p>
    <w:p>
      <w:pPr>
        <w:pStyle w:val="27"/>
        <w:tabs>
          <w:tab w:val="left" w:pos="1225"/>
          <w:tab w:val="left" w:pos="1731"/>
        </w:tabs>
        <w:snapToGrid w:val="0"/>
        <w:spacing w:line="360" w:lineRule="auto"/>
        <w:ind w:left="0" w:firstLine="456" w:firstLineChars="200"/>
        <w:rPr>
          <w:sz w:val="23"/>
          <w:szCs w:val="23"/>
        </w:rPr>
      </w:pPr>
      <w:r>
        <w:rPr>
          <w:rFonts w:hint="eastAsia"/>
          <w:spacing w:val="-1"/>
          <w:sz w:val="23"/>
          <w:szCs w:val="23"/>
          <w:lang w:val="en-US"/>
        </w:rPr>
        <w:t>20.2</w:t>
      </w:r>
      <w:r>
        <w:rPr>
          <w:spacing w:val="-1"/>
          <w:sz w:val="23"/>
          <w:szCs w:val="23"/>
        </w:rPr>
        <w:t>投标人在投标文件的审查、澄清、评价和比较以及授予合同的过程中，对招标人施加影响的任何行为，都将导致取消其中标资格。</w:t>
      </w:r>
    </w:p>
    <w:p>
      <w:pPr>
        <w:snapToGrid w:val="0"/>
        <w:spacing w:line="360" w:lineRule="auto"/>
        <w:ind w:firstLine="460" w:firstLineChars="200"/>
        <w:rPr>
          <w:sz w:val="23"/>
          <w:szCs w:val="23"/>
        </w:rPr>
      </w:pPr>
      <w:r>
        <w:rPr>
          <w:sz w:val="23"/>
          <w:szCs w:val="23"/>
        </w:rPr>
        <w:t>21 评 标</w:t>
      </w:r>
    </w:p>
    <w:p>
      <w:pPr>
        <w:pStyle w:val="27"/>
        <w:tabs>
          <w:tab w:val="left" w:pos="1225"/>
        </w:tabs>
        <w:snapToGrid w:val="0"/>
        <w:spacing w:line="360" w:lineRule="auto"/>
        <w:ind w:left="0" w:firstLine="456" w:firstLineChars="200"/>
        <w:rPr>
          <w:sz w:val="23"/>
          <w:szCs w:val="23"/>
        </w:rPr>
      </w:pPr>
      <w:r>
        <w:rPr>
          <w:rFonts w:hint="eastAsia"/>
          <w:spacing w:val="-1"/>
          <w:sz w:val="23"/>
          <w:szCs w:val="23"/>
          <w:lang w:val="en-US"/>
        </w:rPr>
        <w:t>21.1</w:t>
      </w:r>
      <w:r>
        <w:rPr>
          <w:spacing w:val="-1"/>
          <w:sz w:val="23"/>
          <w:szCs w:val="23"/>
        </w:rPr>
        <w:t>评标工作由招标人依法组建的评标委员会负责，评标委员会由交通</w:t>
      </w:r>
      <w:r>
        <w:rPr>
          <w:sz w:val="23"/>
          <w:szCs w:val="23"/>
        </w:rPr>
        <w:t>评标专家库中抽选的专家和招标人代表组成，同时评标委员会将根据本文件“第三章 评标办法”的标准和方法，进行本项目的评标工作。</w:t>
      </w:r>
    </w:p>
    <w:p>
      <w:pPr>
        <w:pStyle w:val="27"/>
        <w:tabs>
          <w:tab w:val="left" w:pos="1295"/>
        </w:tabs>
        <w:snapToGrid w:val="0"/>
        <w:spacing w:line="360" w:lineRule="auto"/>
        <w:ind w:left="0" w:firstLine="460" w:firstLineChars="200"/>
        <w:rPr>
          <w:sz w:val="23"/>
          <w:szCs w:val="23"/>
        </w:rPr>
      </w:pPr>
      <w:r>
        <w:rPr>
          <w:rFonts w:hint="eastAsia"/>
          <w:sz w:val="23"/>
          <w:szCs w:val="23"/>
          <w:lang w:val="en-US"/>
        </w:rPr>
        <w:t>21.2</w:t>
      </w:r>
      <w:r>
        <w:rPr>
          <w:sz w:val="23"/>
          <w:szCs w:val="23"/>
        </w:rPr>
        <w:t>本项目采用</w:t>
      </w:r>
      <w:r>
        <w:rPr>
          <w:rFonts w:hint="eastAsia"/>
          <w:sz w:val="23"/>
          <w:szCs w:val="23"/>
          <w:u w:val="single"/>
        </w:rPr>
        <w:t>综合评估法</w:t>
      </w:r>
      <w:r>
        <w:rPr>
          <w:spacing w:val="-1"/>
          <w:sz w:val="23"/>
          <w:szCs w:val="23"/>
        </w:rPr>
        <w:t>，具体评标办法详见本文件“第三章 评标</w:t>
      </w:r>
      <w:r>
        <w:rPr>
          <w:spacing w:val="-36"/>
          <w:sz w:val="23"/>
          <w:szCs w:val="23"/>
        </w:rPr>
        <w:t>办法”。</w:t>
      </w:r>
    </w:p>
    <w:p>
      <w:pPr>
        <w:pStyle w:val="27"/>
        <w:tabs>
          <w:tab w:val="left" w:pos="1214"/>
        </w:tabs>
        <w:snapToGrid w:val="0"/>
        <w:spacing w:line="360" w:lineRule="auto"/>
        <w:ind w:left="0" w:firstLine="460" w:firstLineChars="200"/>
        <w:rPr>
          <w:sz w:val="23"/>
          <w:szCs w:val="23"/>
        </w:rPr>
      </w:pPr>
      <w:r>
        <w:rPr>
          <w:rFonts w:hint="eastAsia"/>
          <w:sz w:val="23"/>
          <w:szCs w:val="23"/>
          <w:lang w:val="en-US"/>
        </w:rPr>
        <w:t>21.3</w:t>
      </w:r>
      <w:r>
        <w:rPr>
          <w:sz w:val="23"/>
          <w:szCs w:val="23"/>
        </w:rPr>
        <w:t>评标委员会评定的结果，经招标人审定后，招标结果将在</w:t>
      </w:r>
      <w:r>
        <w:rPr>
          <w:rFonts w:hint="eastAsia"/>
          <w:sz w:val="23"/>
          <w:szCs w:val="23"/>
        </w:rPr>
        <w:t xml:space="preserve">如东锦恒城市投资集团有限公司（www.rdjhjt.com）网站上公示 </w:t>
      </w:r>
      <w:r>
        <w:rPr>
          <w:sz w:val="23"/>
          <w:szCs w:val="23"/>
        </w:rPr>
        <w:t>。</w:t>
      </w:r>
    </w:p>
    <w:p>
      <w:pPr>
        <w:pStyle w:val="7"/>
        <w:snapToGrid w:val="0"/>
        <w:spacing w:line="360" w:lineRule="auto"/>
        <w:ind w:left="0" w:firstLine="460" w:firstLineChars="200"/>
        <w:jc w:val="center"/>
        <w:rPr>
          <w:sz w:val="23"/>
          <w:szCs w:val="23"/>
        </w:rPr>
      </w:pPr>
      <w:r>
        <w:rPr>
          <w:sz w:val="23"/>
          <w:szCs w:val="23"/>
        </w:rPr>
        <w:t>F、授予合同</w:t>
      </w:r>
    </w:p>
    <w:p>
      <w:pPr>
        <w:snapToGrid w:val="0"/>
        <w:spacing w:line="360" w:lineRule="auto"/>
        <w:ind w:firstLine="460" w:firstLineChars="200"/>
        <w:rPr>
          <w:sz w:val="23"/>
          <w:szCs w:val="23"/>
        </w:rPr>
      </w:pPr>
      <w:r>
        <w:rPr>
          <w:sz w:val="23"/>
          <w:szCs w:val="23"/>
        </w:rPr>
        <w:t>22 合同授予的标准</w:t>
      </w:r>
    </w:p>
    <w:p>
      <w:pPr>
        <w:pStyle w:val="27"/>
        <w:tabs>
          <w:tab w:val="left" w:pos="1225"/>
        </w:tabs>
        <w:snapToGrid w:val="0"/>
        <w:spacing w:line="360" w:lineRule="auto"/>
        <w:ind w:left="0" w:firstLine="456" w:firstLineChars="200"/>
        <w:rPr>
          <w:sz w:val="23"/>
          <w:szCs w:val="23"/>
        </w:rPr>
      </w:pPr>
      <w:r>
        <w:rPr>
          <w:rFonts w:hint="eastAsia"/>
          <w:spacing w:val="-1"/>
          <w:sz w:val="23"/>
          <w:szCs w:val="23"/>
          <w:lang w:val="en-US"/>
        </w:rPr>
        <w:t>22.1</w:t>
      </w:r>
      <w:r>
        <w:rPr>
          <w:spacing w:val="-1"/>
          <w:sz w:val="23"/>
          <w:szCs w:val="23"/>
        </w:rPr>
        <w:t>招标人根据评标委员会提出的书面评标报告和推荐的中标候选人，</w:t>
      </w:r>
      <w:r>
        <w:rPr>
          <w:spacing w:val="-4"/>
          <w:sz w:val="23"/>
          <w:szCs w:val="23"/>
        </w:rPr>
        <w:t>将合同授予评标委员会推荐的中标候选人。招标人根据本须知第</w:t>
      </w:r>
      <w:r>
        <w:rPr>
          <w:sz w:val="23"/>
          <w:szCs w:val="23"/>
        </w:rPr>
        <w:t>24</w:t>
      </w:r>
      <w:r>
        <w:rPr>
          <w:spacing w:val="-15"/>
          <w:sz w:val="23"/>
          <w:szCs w:val="23"/>
        </w:rPr>
        <w:t>条规定享有的权力不受本条限制。</w:t>
      </w:r>
    </w:p>
    <w:p>
      <w:pPr>
        <w:pStyle w:val="7"/>
        <w:tabs>
          <w:tab w:val="left" w:pos="1225"/>
        </w:tabs>
        <w:snapToGrid w:val="0"/>
        <w:spacing w:line="360" w:lineRule="auto"/>
        <w:ind w:left="0" w:firstLine="432" w:firstLineChars="200"/>
        <w:rPr>
          <w:sz w:val="23"/>
          <w:szCs w:val="23"/>
        </w:rPr>
      </w:pPr>
      <w:r>
        <w:rPr>
          <w:rFonts w:hint="eastAsia"/>
          <w:spacing w:val="-7"/>
          <w:sz w:val="23"/>
          <w:szCs w:val="23"/>
          <w:lang w:val="en-US"/>
        </w:rPr>
        <w:t>22.2</w:t>
      </w:r>
      <w:r>
        <w:rPr>
          <w:spacing w:val="-7"/>
          <w:sz w:val="23"/>
          <w:szCs w:val="23"/>
        </w:rPr>
        <w:t xml:space="preserve">招标人按本须知附件 </w:t>
      </w:r>
      <w:r>
        <w:rPr>
          <w:sz w:val="23"/>
          <w:szCs w:val="23"/>
        </w:rPr>
        <w:t>1</w:t>
      </w:r>
      <w:r>
        <w:rPr>
          <w:spacing w:val="-1"/>
          <w:sz w:val="23"/>
          <w:szCs w:val="23"/>
        </w:rPr>
        <w:t>《评标办法》规定，确定评标委员会推荐的第一中标候选人为中标人的，如第一中标候选人放弃中标或因不可抗力提出不能履行合同，招标人可以确定第二中标候选人为中标人。</w:t>
      </w:r>
    </w:p>
    <w:p>
      <w:pPr>
        <w:pStyle w:val="27"/>
        <w:tabs>
          <w:tab w:val="left" w:pos="1225"/>
          <w:tab w:val="left" w:pos="1731"/>
        </w:tabs>
        <w:snapToGrid w:val="0"/>
        <w:spacing w:line="360" w:lineRule="auto"/>
        <w:ind w:left="0" w:firstLine="456" w:firstLineChars="200"/>
        <w:rPr>
          <w:sz w:val="23"/>
          <w:szCs w:val="23"/>
        </w:rPr>
      </w:pPr>
      <w:r>
        <w:rPr>
          <w:rFonts w:hint="eastAsia"/>
          <w:spacing w:val="-1"/>
          <w:sz w:val="23"/>
          <w:szCs w:val="23"/>
          <w:lang w:val="en-US"/>
        </w:rPr>
        <w:t>22.3</w:t>
      </w:r>
      <w:r>
        <w:rPr>
          <w:spacing w:val="-1"/>
          <w:sz w:val="23"/>
          <w:szCs w:val="23"/>
        </w:rPr>
        <w:t>招标人不得以压低研究工作费、增加工作量、缩短研究周期等作为中标的条件，不得与中标人再行订立背离合同实质性内容的其他协议。</w:t>
      </w:r>
    </w:p>
    <w:p>
      <w:pPr>
        <w:snapToGrid w:val="0"/>
        <w:spacing w:line="360" w:lineRule="auto"/>
        <w:ind w:firstLine="460" w:firstLineChars="200"/>
        <w:rPr>
          <w:sz w:val="23"/>
          <w:szCs w:val="23"/>
        </w:rPr>
      </w:pPr>
      <w:r>
        <w:rPr>
          <w:sz w:val="23"/>
          <w:szCs w:val="23"/>
        </w:rPr>
        <w:t>23 招标人接受和拒绝投标的权力</w:t>
      </w:r>
    </w:p>
    <w:p>
      <w:pPr>
        <w:tabs>
          <w:tab w:val="left" w:pos="1731"/>
        </w:tabs>
        <w:snapToGrid w:val="0"/>
        <w:spacing w:line="360" w:lineRule="auto"/>
        <w:ind w:firstLine="460" w:firstLineChars="200"/>
        <w:rPr>
          <w:sz w:val="23"/>
          <w:szCs w:val="23"/>
        </w:rPr>
      </w:pPr>
      <w:r>
        <w:rPr>
          <w:sz w:val="23"/>
          <w:szCs w:val="23"/>
        </w:rPr>
        <w:t>23.1</w:t>
      </w:r>
      <w:r>
        <w:rPr>
          <w:spacing w:val="-1"/>
          <w:sz w:val="23"/>
          <w:szCs w:val="23"/>
        </w:rPr>
        <w:t>招标人在发出中标通知书前因项目发生变化或不可抗力等原因有</w:t>
      </w:r>
      <w:r>
        <w:rPr>
          <w:sz w:val="23"/>
          <w:szCs w:val="23"/>
        </w:rPr>
        <w:t>权宣布投标程序无效或拒绝所有投标，并对由此引起的对投标人的影响不承担任何责任，也无须将这样做的理由通知受影响的投标人，但招标人应将投标担保退还给投标人。</w:t>
      </w:r>
    </w:p>
    <w:p>
      <w:pPr>
        <w:snapToGrid w:val="0"/>
        <w:spacing w:line="360" w:lineRule="auto"/>
        <w:ind w:firstLine="460" w:firstLineChars="200"/>
        <w:rPr>
          <w:sz w:val="23"/>
          <w:szCs w:val="23"/>
        </w:rPr>
      </w:pPr>
      <w:r>
        <w:rPr>
          <w:sz w:val="23"/>
          <w:szCs w:val="23"/>
        </w:rPr>
        <w:t>24 中标通知书</w:t>
      </w:r>
    </w:p>
    <w:p>
      <w:pPr>
        <w:pStyle w:val="27"/>
        <w:numPr>
          <w:ilvl w:val="1"/>
          <w:numId w:val="15"/>
        </w:numPr>
        <w:tabs>
          <w:tab w:val="left" w:pos="1273"/>
        </w:tabs>
        <w:snapToGrid w:val="0"/>
        <w:spacing w:line="360" w:lineRule="auto"/>
        <w:ind w:left="0" w:firstLine="432" w:firstLineChars="200"/>
        <w:rPr>
          <w:sz w:val="23"/>
          <w:szCs w:val="23"/>
        </w:rPr>
      </w:pPr>
      <w:r>
        <w:rPr>
          <w:spacing w:val="-7"/>
          <w:sz w:val="23"/>
          <w:szCs w:val="23"/>
        </w:rPr>
        <w:t xml:space="preserve">在确定中标人之日起 </w:t>
      </w:r>
      <w:r>
        <w:rPr>
          <w:sz w:val="23"/>
          <w:szCs w:val="23"/>
        </w:rPr>
        <w:t>10</w:t>
      </w:r>
      <w:r>
        <w:rPr>
          <w:spacing w:val="-10"/>
          <w:sz w:val="23"/>
          <w:szCs w:val="23"/>
        </w:rPr>
        <w:t xml:space="preserve"> 日内，招标人应以书面形式向中标人发出中</w:t>
      </w:r>
      <w:r>
        <w:rPr>
          <w:sz w:val="23"/>
          <w:szCs w:val="23"/>
        </w:rPr>
        <w:t>标通知书，确认其投标已被接受。中标通知书中应写明中标价格。投标人在收到中标通知书后，应立即以书面方式通知招标人。</w:t>
      </w:r>
    </w:p>
    <w:p>
      <w:pPr>
        <w:pStyle w:val="27"/>
        <w:numPr>
          <w:ilvl w:val="1"/>
          <w:numId w:val="15"/>
        </w:numPr>
        <w:tabs>
          <w:tab w:val="left" w:pos="1273"/>
        </w:tabs>
        <w:snapToGrid w:val="0"/>
        <w:spacing w:line="360" w:lineRule="auto"/>
        <w:ind w:left="0" w:firstLine="452" w:firstLineChars="200"/>
        <w:rPr>
          <w:sz w:val="23"/>
          <w:szCs w:val="23"/>
        </w:rPr>
      </w:pPr>
      <w:r>
        <w:rPr>
          <w:spacing w:val="-2"/>
          <w:sz w:val="23"/>
          <w:szCs w:val="23"/>
        </w:rPr>
        <w:t>中标通知书是合同文件的组成部分。</w:t>
      </w:r>
    </w:p>
    <w:p>
      <w:pPr>
        <w:pStyle w:val="27"/>
        <w:tabs>
          <w:tab w:val="left" w:pos="1273"/>
        </w:tabs>
        <w:snapToGrid w:val="0"/>
        <w:spacing w:line="360" w:lineRule="auto"/>
        <w:ind w:left="0" w:firstLine="460" w:firstLineChars="200"/>
        <w:rPr>
          <w:sz w:val="23"/>
          <w:szCs w:val="23"/>
        </w:rPr>
      </w:pPr>
      <w:r>
        <w:rPr>
          <w:sz w:val="23"/>
          <w:szCs w:val="23"/>
        </w:rPr>
        <w:t>25、合同协议书的签署</w:t>
      </w:r>
    </w:p>
    <w:p>
      <w:pPr>
        <w:pStyle w:val="27"/>
        <w:tabs>
          <w:tab w:val="left" w:pos="1274"/>
        </w:tabs>
        <w:snapToGrid w:val="0"/>
        <w:spacing w:line="360" w:lineRule="auto"/>
        <w:ind w:left="0" w:firstLine="440" w:firstLineChars="200"/>
        <w:rPr>
          <w:rFonts w:ascii="Microsoft JhengHei" w:eastAsia="Microsoft JhengHei"/>
          <w:b/>
          <w:sz w:val="23"/>
          <w:szCs w:val="23"/>
        </w:rPr>
      </w:pPr>
      <w:r>
        <w:rPr>
          <w:rFonts w:hint="eastAsia"/>
          <w:spacing w:val="-5"/>
          <w:sz w:val="23"/>
          <w:szCs w:val="23"/>
          <w:lang w:val="en-US"/>
        </w:rPr>
        <w:t>25.1</w:t>
      </w:r>
      <w:r>
        <w:rPr>
          <w:spacing w:val="-5"/>
          <w:sz w:val="23"/>
          <w:szCs w:val="23"/>
        </w:rPr>
        <w:t xml:space="preserve">中标人在中标通知书发出之日起 </w:t>
      </w:r>
      <w:r>
        <w:rPr>
          <w:sz w:val="23"/>
          <w:szCs w:val="23"/>
        </w:rPr>
        <w:t>14</w:t>
      </w:r>
      <w:r>
        <w:rPr>
          <w:spacing w:val="-10"/>
          <w:sz w:val="23"/>
          <w:szCs w:val="23"/>
        </w:rPr>
        <w:t xml:space="preserve"> 日内，应派代表与招标人协商签</w:t>
      </w:r>
      <w:r>
        <w:rPr>
          <w:sz w:val="23"/>
          <w:szCs w:val="23"/>
        </w:rPr>
        <w:t>订合同事宜。签约的地点将在中标通知书中明确。在签订合同协议书前，按招标人的要求提交履约担保，</w:t>
      </w:r>
      <w:r>
        <w:rPr>
          <w:rFonts w:hint="eastAsia"/>
          <w:sz w:val="23"/>
          <w:szCs w:val="23"/>
          <w:u w:val="single"/>
        </w:rPr>
        <w:t>履约担保金额见详见须知前附表</w:t>
      </w:r>
      <w:r>
        <w:rPr>
          <w:sz w:val="23"/>
          <w:szCs w:val="23"/>
        </w:rPr>
        <w:t>，履约担保方式采用银行保函或现金(电汇或银行汇票形式)。采用银行保函时，出具履约担保的银行级别：</w:t>
      </w:r>
      <w:r>
        <w:rPr>
          <w:rFonts w:hint="eastAsia"/>
          <w:sz w:val="23"/>
          <w:szCs w:val="23"/>
          <w:u w:val="single"/>
        </w:rPr>
        <w:t>国有商业银行或股份制商业银行的支行及其以上级别。</w:t>
      </w:r>
    </w:p>
    <w:p>
      <w:pPr>
        <w:pStyle w:val="7"/>
        <w:tabs>
          <w:tab w:val="left" w:pos="1274"/>
        </w:tabs>
        <w:snapToGrid w:val="0"/>
        <w:spacing w:line="360" w:lineRule="auto"/>
        <w:ind w:left="0" w:firstLine="460" w:firstLineChars="200"/>
        <w:rPr>
          <w:sz w:val="23"/>
          <w:szCs w:val="23"/>
        </w:rPr>
      </w:pPr>
      <w:r>
        <w:rPr>
          <w:rFonts w:hint="eastAsia"/>
          <w:sz w:val="23"/>
          <w:szCs w:val="23"/>
          <w:lang w:val="en-US"/>
        </w:rPr>
        <w:t>25.2</w:t>
      </w:r>
      <w:r>
        <w:rPr>
          <w:sz w:val="23"/>
          <w:szCs w:val="23"/>
        </w:rPr>
        <w:t>合同协议书经</w:t>
      </w:r>
      <w:r>
        <w:rPr>
          <w:rFonts w:hint="eastAsia"/>
          <w:sz w:val="23"/>
          <w:szCs w:val="23"/>
        </w:rPr>
        <w:t>三</w:t>
      </w:r>
      <w:r>
        <w:rPr>
          <w:sz w:val="23"/>
          <w:szCs w:val="23"/>
        </w:rPr>
        <w:t>方法定代表人或其授权代理人签署、</w:t>
      </w:r>
      <w:r>
        <w:rPr>
          <w:rFonts w:hint="eastAsia"/>
          <w:sz w:val="23"/>
          <w:szCs w:val="23"/>
        </w:rPr>
        <w:t>盖章</w:t>
      </w:r>
      <w:r>
        <w:rPr>
          <w:sz w:val="23"/>
          <w:szCs w:val="23"/>
        </w:rPr>
        <w:t>后生效。</w:t>
      </w:r>
    </w:p>
    <w:p>
      <w:pPr>
        <w:pStyle w:val="27"/>
        <w:tabs>
          <w:tab w:val="left" w:pos="1205"/>
        </w:tabs>
        <w:snapToGrid w:val="0"/>
        <w:spacing w:line="360" w:lineRule="auto"/>
        <w:ind w:left="0" w:firstLine="440" w:firstLineChars="200"/>
        <w:rPr>
          <w:sz w:val="23"/>
          <w:szCs w:val="23"/>
        </w:rPr>
      </w:pPr>
      <w:r>
        <w:rPr>
          <w:rFonts w:hint="eastAsia"/>
          <w:spacing w:val="-5"/>
          <w:sz w:val="23"/>
          <w:szCs w:val="23"/>
          <w:lang w:val="en-US"/>
        </w:rPr>
        <w:t>25.3</w:t>
      </w:r>
      <w:r>
        <w:rPr>
          <w:spacing w:val="-5"/>
          <w:sz w:val="23"/>
          <w:szCs w:val="23"/>
        </w:rPr>
        <w:t>如果中标人未能遵守本须知第</w:t>
      </w:r>
      <w:r>
        <w:rPr>
          <w:sz w:val="23"/>
          <w:szCs w:val="23"/>
        </w:rPr>
        <w:t>26.1</w:t>
      </w:r>
      <w:r>
        <w:rPr>
          <w:spacing w:val="-10"/>
          <w:sz w:val="23"/>
          <w:szCs w:val="23"/>
        </w:rPr>
        <w:t>款的规定，招标人将宣布其中标</w:t>
      </w:r>
      <w:r>
        <w:rPr>
          <w:sz w:val="23"/>
          <w:szCs w:val="23"/>
        </w:rPr>
        <w:t>无效，并没收其投标保证金。在此情况下，招标人可将合同授予下一个中标候选人。如果没有其它合适投标人时，则重新招标。</w:t>
      </w:r>
    </w:p>
    <w:p>
      <w:pPr>
        <w:snapToGrid w:val="0"/>
        <w:spacing w:line="360" w:lineRule="auto"/>
        <w:ind w:firstLine="460" w:firstLineChars="200"/>
        <w:rPr>
          <w:sz w:val="23"/>
          <w:szCs w:val="23"/>
        </w:rPr>
      </w:pPr>
      <w:r>
        <w:rPr>
          <w:sz w:val="23"/>
          <w:szCs w:val="23"/>
        </w:rPr>
        <w:t>G 其 他</w:t>
      </w:r>
    </w:p>
    <w:p>
      <w:pPr>
        <w:snapToGrid w:val="0"/>
        <w:spacing w:line="360" w:lineRule="auto"/>
        <w:ind w:firstLine="460" w:firstLineChars="200"/>
        <w:rPr>
          <w:sz w:val="23"/>
          <w:szCs w:val="23"/>
        </w:rPr>
      </w:pPr>
      <w:r>
        <w:rPr>
          <w:sz w:val="23"/>
          <w:szCs w:val="23"/>
        </w:rPr>
        <w:t>26、纪律与监督</w:t>
      </w:r>
    </w:p>
    <w:p>
      <w:pPr>
        <w:pStyle w:val="27"/>
        <w:numPr>
          <w:ilvl w:val="1"/>
          <w:numId w:val="16"/>
        </w:numPr>
        <w:tabs>
          <w:tab w:val="left" w:pos="1274"/>
        </w:tabs>
        <w:snapToGrid w:val="0"/>
        <w:spacing w:line="360" w:lineRule="auto"/>
        <w:ind w:left="0" w:firstLine="456" w:firstLineChars="200"/>
        <w:rPr>
          <w:sz w:val="23"/>
          <w:szCs w:val="23"/>
        </w:rPr>
      </w:pPr>
      <w:r>
        <w:rPr>
          <w:spacing w:val="-1"/>
          <w:sz w:val="23"/>
          <w:szCs w:val="23"/>
        </w:rPr>
        <w:t>投标人在投标过程中不得有任何不正当商业行为，也不能采取任何</w:t>
      </w:r>
      <w:r>
        <w:rPr>
          <w:sz w:val="23"/>
          <w:szCs w:val="23"/>
        </w:rPr>
        <w:t>方式向招标人施加压力或干扰正常的评标工作，否则将被取消投标或中标资格。</w:t>
      </w:r>
    </w:p>
    <w:p>
      <w:pPr>
        <w:pStyle w:val="27"/>
        <w:numPr>
          <w:ilvl w:val="1"/>
          <w:numId w:val="16"/>
        </w:numPr>
        <w:tabs>
          <w:tab w:val="left" w:pos="1274"/>
        </w:tabs>
        <w:snapToGrid w:val="0"/>
        <w:spacing w:line="360" w:lineRule="auto"/>
        <w:ind w:left="0" w:firstLine="456" w:firstLineChars="200"/>
        <w:rPr>
          <w:sz w:val="23"/>
          <w:szCs w:val="23"/>
        </w:rPr>
      </w:pPr>
      <w:r>
        <w:rPr>
          <w:spacing w:val="-1"/>
          <w:sz w:val="23"/>
          <w:szCs w:val="23"/>
        </w:rPr>
        <w:t>为进一步维护工程建设项目招标活动和合同履行的严肃性，强化中</w:t>
      </w:r>
      <w:r>
        <w:rPr>
          <w:sz w:val="23"/>
          <w:szCs w:val="23"/>
        </w:rPr>
        <w:t>标承建单位的履约意识，使招标工作与履约考核紧密结合，业主将对承包人的合同履约情况进行考核管理。并反映到履约考核中，根据《江苏省公路水运建设市场信用信息管理办法》的有关规定将考核情况上报交通行政主管部门，录入中标单位信用档案。</w:t>
      </w:r>
    </w:p>
    <w:p>
      <w:pPr>
        <w:pStyle w:val="7"/>
        <w:snapToGrid w:val="0"/>
        <w:spacing w:line="360" w:lineRule="auto"/>
        <w:ind w:left="0" w:firstLine="460" w:firstLineChars="200"/>
        <w:rPr>
          <w:sz w:val="23"/>
          <w:szCs w:val="23"/>
        </w:rPr>
      </w:pPr>
      <w:r>
        <w:rPr>
          <w:sz w:val="23"/>
          <w:szCs w:val="23"/>
        </w:rPr>
        <w:t>27．版权</w:t>
      </w:r>
    </w:p>
    <w:p>
      <w:pPr>
        <w:pStyle w:val="27"/>
        <w:numPr>
          <w:ilvl w:val="1"/>
          <w:numId w:val="17"/>
        </w:numPr>
        <w:tabs>
          <w:tab w:val="left" w:pos="665"/>
          <w:tab w:val="left" w:pos="1171"/>
        </w:tabs>
        <w:snapToGrid w:val="0"/>
        <w:spacing w:line="360" w:lineRule="auto"/>
        <w:ind w:left="0" w:firstLine="456" w:firstLineChars="200"/>
        <w:rPr>
          <w:sz w:val="23"/>
          <w:szCs w:val="23"/>
        </w:rPr>
      </w:pPr>
      <w:r>
        <w:rPr>
          <w:spacing w:val="-1"/>
          <w:sz w:val="23"/>
          <w:szCs w:val="23"/>
        </w:rPr>
        <w:t>招标人对所提供的资料及本工程的科研成果拥有版权，未经招标人许可，投标人不得复制或出版。</w:t>
      </w: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spacing w:before="12"/>
        <w:rPr>
          <w:sz w:val="25"/>
        </w:rPr>
      </w:pPr>
    </w:p>
    <w:p>
      <w:pPr>
        <w:spacing w:before="93"/>
        <w:ind w:right="566"/>
        <w:jc w:val="right"/>
        <w:rPr>
          <w:rFonts w:ascii="Times New Roman"/>
          <w:sz w:val="18"/>
        </w:rPr>
      </w:pPr>
    </w:p>
    <w:p>
      <w:pPr>
        <w:jc w:val="right"/>
        <w:rPr>
          <w:rFonts w:ascii="Times New Roman"/>
          <w:sz w:val="18"/>
        </w:rPr>
        <w:sectPr>
          <w:pgSz w:w="11910" w:h="16840"/>
          <w:pgMar w:top="1361" w:right="1474" w:bottom="1361" w:left="1474" w:header="720" w:footer="720" w:gutter="0"/>
          <w:cols w:space="720" w:num="1"/>
        </w:sectPr>
      </w:pPr>
    </w:p>
    <w:p>
      <w:pPr>
        <w:pStyle w:val="7"/>
        <w:pageBreakBefore/>
        <w:snapToGrid w:val="0"/>
        <w:spacing w:line="360" w:lineRule="auto"/>
        <w:ind w:left="317" w:right="493"/>
        <w:jc w:val="center"/>
      </w:pPr>
      <w:bookmarkStart w:id="6" w:name="评标办法设置"/>
      <w:bookmarkEnd w:id="6"/>
      <w:r>
        <w:t>第</w:t>
      </w:r>
      <w:r>
        <w:rPr>
          <w:rFonts w:hint="eastAsia"/>
          <w:lang w:val="en-US"/>
        </w:rPr>
        <w:t>三</w:t>
      </w:r>
      <w:r>
        <w:t>章</w:t>
      </w:r>
      <w:r>
        <w:rPr>
          <w:rFonts w:hint="eastAsia"/>
          <w:lang w:val="en-US"/>
        </w:rPr>
        <w:t xml:space="preserve"> 评标办法</w:t>
      </w:r>
    </w:p>
    <w:p>
      <w:pPr>
        <w:spacing w:before="25"/>
        <w:rPr>
          <w:sz w:val="30"/>
          <w:szCs w:val="30"/>
        </w:rPr>
      </w:pPr>
      <w:r>
        <w:rPr>
          <w:sz w:val="30"/>
          <w:szCs w:val="30"/>
        </w:rPr>
        <w:t>评标办法前附表</w:t>
      </w:r>
    </w:p>
    <w:tbl>
      <w:tblPr>
        <w:tblStyle w:val="26"/>
        <w:tblW w:w="5000"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417"/>
        <w:gridCol w:w="443"/>
        <w:gridCol w:w="1693"/>
        <w:gridCol w:w="675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8" w:hRule="atLeast"/>
        </w:trPr>
        <w:tc>
          <w:tcPr>
            <w:tcW w:w="462" w:type="pct"/>
            <w:gridSpan w:val="2"/>
          </w:tcPr>
          <w:p>
            <w:pPr>
              <w:pStyle w:val="28"/>
              <w:spacing w:before="13" w:line="370" w:lineRule="atLeast"/>
              <w:ind w:left="78" w:right="58"/>
              <w:jc w:val="both"/>
              <w:rPr>
                <w:sz w:val="23"/>
                <w:szCs w:val="23"/>
              </w:rPr>
            </w:pPr>
            <w:r>
              <w:rPr>
                <w:sz w:val="23"/>
                <w:szCs w:val="23"/>
              </w:rPr>
              <w:t>条款号名称</w:t>
            </w:r>
          </w:p>
        </w:tc>
        <w:tc>
          <w:tcPr>
            <w:tcW w:w="4538" w:type="pct"/>
            <w:gridSpan w:val="2"/>
          </w:tcPr>
          <w:p>
            <w:pPr>
              <w:pStyle w:val="28"/>
              <w:spacing w:before="2"/>
              <w:rPr>
                <w:sz w:val="23"/>
                <w:szCs w:val="23"/>
              </w:rPr>
            </w:pPr>
          </w:p>
          <w:p>
            <w:pPr>
              <w:pStyle w:val="28"/>
              <w:ind w:left="2469" w:right="2444"/>
              <w:jc w:val="center"/>
              <w:rPr>
                <w:sz w:val="23"/>
                <w:szCs w:val="23"/>
              </w:rPr>
            </w:pPr>
            <w:r>
              <w:rPr>
                <w:sz w:val="23"/>
                <w:szCs w:val="23"/>
              </w:rPr>
              <w:t>评审因素与评审标准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92" w:hRule="atLeast"/>
        </w:trPr>
        <w:tc>
          <w:tcPr>
            <w:tcW w:w="224" w:type="pct"/>
          </w:tcPr>
          <w:p>
            <w:pPr>
              <w:pStyle w:val="28"/>
              <w:rPr>
                <w:sz w:val="23"/>
                <w:szCs w:val="23"/>
              </w:rPr>
            </w:pPr>
          </w:p>
          <w:p>
            <w:pPr>
              <w:pStyle w:val="28"/>
              <w:rPr>
                <w:sz w:val="23"/>
                <w:szCs w:val="23"/>
              </w:rPr>
            </w:pPr>
          </w:p>
          <w:p>
            <w:pPr>
              <w:pStyle w:val="28"/>
              <w:rPr>
                <w:sz w:val="23"/>
                <w:szCs w:val="23"/>
              </w:rPr>
            </w:pPr>
          </w:p>
          <w:p>
            <w:pPr>
              <w:pStyle w:val="28"/>
              <w:rPr>
                <w:sz w:val="23"/>
                <w:szCs w:val="23"/>
              </w:rPr>
            </w:pPr>
          </w:p>
          <w:p>
            <w:pPr>
              <w:pStyle w:val="28"/>
              <w:rPr>
                <w:sz w:val="23"/>
                <w:szCs w:val="23"/>
              </w:rPr>
            </w:pPr>
          </w:p>
          <w:p>
            <w:pPr>
              <w:pStyle w:val="28"/>
              <w:spacing w:before="182"/>
              <w:ind w:left="5" w:right="-29"/>
              <w:rPr>
                <w:sz w:val="23"/>
                <w:szCs w:val="23"/>
              </w:rPr>
            </w:pPr>
            <w:r>
              <w:rPr>
                <w:sz w:val="23"/>
                <w:szCs w:val="23"/>
              </w:rPr>
              <w:t>1</w:t>
            </w:r>
          </w:p>
        </w:tc>
        <w:tc>
          <w:tcPr>
            <w:tcW w:w="238" w:type="pct"/>
          </w:tcPr>
          <w:p>
            <w:pPr>
              <w:pStyle w:val="28"/>
              <w:rPr>
                <w:sz w:val="23"/>
                <w:szCs w:val="23"/>
              </w:rPr>
            </w:pPr>
          </w:p>
          <w:p>
            <w:pPr>
              <w:pStyle w:val="28"/>
              <w:rPr>
                <w:sz w:val="23"/>
                <w:szCs w:val="23"/>
              </w:rPr>
            </w:pPr>
          </w:p>
          <w:p>
            <w:pPr>
              <w:pStyle w:val="28"/>
              <w:rPr>
                <w:sz w:val="23"/>
                <w:szCs w:val="23"/>
              </w:rPr>
            </w:pPr>
          </w:p>
          <w:p>
            <w:pPr>
              <w:pStyle w:val="28"/>
              <w:spacing w:before="1"/>
              <w:rPr>
                <w:sz w:val="23"/>
                <w:szCs w:val="23"/>
              </w:rPr>
            </w:pPr>
          </w:p>
          <w:p>
            <w:pPr>
              <w:pStyle w:val="28"/>
              <w:spacing w:line="292" w:lineRule="auto"/>
              <w:ind w:left="10" w:right="-15"/>
              <w:rPr>
                <w:sz w:val="23"/>
                <w:szCs w:val="23"/>
              </w:rPr>
            </w:pPr>
            <w:r>
              <w:rPr>
                <w:sz w:val="23"/>
                <w:szCs w:val="23"/>
              </w:rPr>
              <w:t>评标办法</w:t>
            </w:r>
          </w:p>
        </w:tc>
        <w:tc>
          <w:tcPr>
            <w:tcW w:w="4538" w:type="pct"/>
            <w:gridSpan w:val="2"/>
          </w:tcPr>
          <w:p>
            <w:pPr>
              <w:pStyle w:val="28"/>
              <w:numPr>
                <w:ilvl w:val="0"/>
                <w:numId w:val="18"/>
              </w:numPr>
              <w:spacing w:line="310" w:lineRule="atLeast"/>
              <w:ind w:left="0" w:firstLine="0"/>
              <w:rPr>
                <w:sz w:val="23"/>
                <w:szCs w:val="23"/>
              </w:rPr>
            </w:pPr>
            <w:r>
              <w:rPr>
                <w:sz w:val="23"/>
                <w:szCs w:val="23"/>
              </w:rPr>
              <w:t>本次评标采用综合评估法。评标委员会对满足招标文件实质性要求的投标文件，按照本章第2.2款规定的评分标准进行打分，并按得分由高到低顺序推荐中标候选人（不足三名，则按实际数量推荐）。</w:t>
            </w:r>
            <w:bookmarkStart w:id="7" w:name="_Hlk65565648"/>
            <w:r>
              <w:rPr>
                <w:sz w:val="23"/>
                <w:szCs w:val="23"/>
              </w:rPr>
              <w:t>评标委员会按投标人综合得分从高到低顺序确定投标人综合得分排名，当同一标段出现2份或2份以上综合得分相同时，则按评标价较低的投标人排名在前；如评标价相同，则按</w:t>
            </w:r>
            <w:r>
              <w:rPr>
                <w:rFonts w:hint="eastAsia"/>
                <w:sz w:val="23"/>
                <w:szCs w:val="23"/>
              </w:rPr>
              <w:t>投入项目负责人得分较高的投标人排名在前；如果项目负责人得分相同，则按</w:t>
            </w:r>
            <w:r>
              <w:rPr>
                <w:rFonts w:hint="eastAsia"/>
                <w:snapToGrid w:val="0"/>
                <w:szCs w:val="21"/>
              </w:rPr>
              <w:t>服务方案得分较高的投标人排名在前；</w:t>
            </w:r>
            <w:r>
              <w:rPr>
                <w:sz w:val="23"/>
                <w:szCs w:val="23"/>
              </w:rPr>
              <w:t>如仍不确定的，由评标委员会</w:t>
            </w:r>
            <w:r>
              <w:rPr>
                <w:rFonts w:hint="eastAsia"/>
                <w:sz w:val="23"/>
                <w:szCs w:val="23"/>
              </w:rPr>
              <w:t>投票</w:t>
            </w:r>
            <w:r>
              <w:rPr>
                <w:sz w:val="23"/>
                <w:szCs w:val="23"/>
              </w:rPr>
              <w:t>确定。</w:t>
            </w:r>
            <w:bookmarkEnd w:id="7"/>
            <w:r>
              <w:rPr>
                <w:sz w:val="23"/>
                <w:szCs w:val="23"/>
              </w:rPr>
              <w:t>评标委员会推荐综合得分排名第一的投标人为第一中标候选人，综合得分排名第二、第三的投标人分别为第二、第三中标候选人。</w:t>
            </w:r>
          </w:p>
          <w:p>
            <w:pPr>
              <w:pStyle w:val="28"/>
              <w:numPr>
                <w:ilvl w:val="0"/>
                <w:numId w:val="18"/>
              </w:numPr>
              <w:spacing w:line="310" w:lineRule="atLeast"/>
              <w:ind w:left="0" w:firstLine="0"/>
              <w:rPr>
                <w:sz w:val="23"/>
                <w:szCs w:val="23"/>
              </w:rPr>
            </w:pPr>
            <w:r>
              <w:rPr>
                <w:rFonts w:hint="eastAsia"/>
                <w:sz w:val="23"/>
                <w:szCs w:val="23"/>
              </w:rPr>
              <w:t>总得分汇总方式：</w:t>
            </w:r>
            <w:r>
              <w:rPr>
                <w:sz w:val="23"/>
                <w:szCs w:val="23"/>
              </w:rPr>
              <w:t>评委应独立对各投标文件进行评分，投标人技术部分得分为各分项得分之和，各分项得分分别为各评委的该项评分的算术平均值（如评标委员会人数为7人及以上时，则去掉一个最高值和一个最低值）。投标人综合得分即为技术部分与报价评审得分之和。</w:t>
            </w:r>
            <w:r>
              <w:rPr>
                <w:rFonts w:hint="eastAsia"/>
                <w:sz w:val="23"/>
                <w:szCs w:val="23"/>
              </w:rPr>
              <w:t>评标办法其它位置与本款约定不符的，以本款约定为准。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5" w:hRule="atLeast"/>
        </w:trPr>
        <w:tc>
          <w:tcPr>
            <w:tcW w:w="462" w:type="pct"/>
            <w:gridSpan w:val="2"/>
            <w:vAlign w:val="center"/>
          </w:tcPr>
          <w:p>
            <w:pPr>
              <w:pStyle w:val="28"/>
              <w:spacing w:before="13" w:line="370" w:lineRule="atLeast"/>
              <w:ind w:left="78" w:right="58"/>
              <w:jc w:val="both"/>
              <w:rPr>
                <w:sz w:val="23"/>
                <w:szCs w:val="23"/>
              </w:rPr>
            </w:pPr>
            <w:r>
              <w:rPr>
                <w:sz w:val="23"/>
                <w:szCs w:val="23"/>
              </w:rPr>
              <w:t>条款号名称</w:t>
            </w:r>
          </w:p>
        </w:tc>
        <w:tc>
          <w:tcPr>
            <w:tcW w:w="909" w:type="pct"/>
            <w:vAlign w:val="center"/>
          </w:tcPr>
          <w:p>
            <w:pPr>
              <w:pStyle w:val="28"/>
              <w:spacing w:line="292" w:lineRule="auto"/>
              <w:ind w:left="33" w:right="7"/>
              <w:rPr>
                <w:sz w:val="23"/>
                <w:szCs w:val="23"/>
              </w:rPr>
            </w:pPr>
            <w:r>
              <w:rPr>
                <w:sz w:val="23"/>
                <w:szCs w:val="23"/>
              </w:rPr>
              <w:t>评审因素</w:t>
            </w:r>
          </w:p>
        </w:tc>
        <w:tc>
          <w:tcPr>
            <w:tcW w:w="3629" w:type="pct"/>
            <w:vAlign w:val="center"/>
          </w:tcPr>
          <w:p>
            <w:pPr>
              <w:pStyle w:val="28"/>
              <w:ind w:left="2798" w:right="2774"/>
              <w:jc w:val="center"/>
              <w:rPr>
                <w:sz w:val="23"/>
                <w:szCs w:val="23"/>
              </w:rPr>
            </w:pPr>
            <w:r>
              <w:rPr>
                <w:sz w:val="23"/>
                <w:szCs w:val="23"/>
              </w:rPr>
              <w:t>评审标准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7" w:hRule="atLeast"/>
        </w:trPr>
        <w:tc>
          <w:tcPr>
            <w:tcW w:w="224" w:type="pct"/>
            <w:vMerge w:val="restart"/>
          </w:tcPr>
          <w:p>
            <w:pPr>
              <w:pStyle w:val="28"/>
              <w:spacing w:before="214"/>
              <w:ind w:left="5" w:right="-29"/>
              <w:rPr>
                <w:sz w:val="23"/>
                <w:szCs w:val="23"/>
              </w:rPr>
            </w:pPr>
            <w:r>
              <w:rPr>
                <w:sz w:val="23"/>
                <w:szCs w:val="23"/>
              </w:rPr>
              <w:t>2</w:t>
            </w:r>
          </w:p>
          <w:p>
            <w:pPr>
              <w:pStyle w:val="28"/>
              <w:spacing w:before="3" w:line="242" w:lineRule="auto"/>
              <w:ind w:left="5" w:right="-35"/>
              <w:rPr>
                <w:sz w:val="23"/>
                <w:szCs w:val="23"/>
              </w:rPr>
            </w:pPr>
            <w:r>
              <w:rPr>
                <w:sz w:val="23"/>
                <w:szCs w:val="23"/>
              </w:rPr>
              <w:t>. 1</w:t>
            </w:r>
          </w:p>
          <w:p>
            <w:pPr>
              <w:pStyle w:val="28"/>
              <w:spacing w:before="2" w:line="242" w:lineRule="auto"/>
              <w:ind w:left="5" w:right="-35"/>
              <w:rPr>
                <w:sz w:val="23"/>
                <w:szCs w:val="23"/>
              </w:rPr>
            </w:pPr>
            <w:r>
              <w:rPr>
                <w:sz w:val="23"/>
                <w:szCs w:val="23"/>
              </w:rPr>
              <w:t>. 1</w:t>
            </w:r>
          </w:p>
          <w:p>
            <w:pPr>
              <w:pStyle w:val="28"/>
              <w:spacing w:before="1"/>
              <w:ind w:left="5" w:right="-29"/>
              <w:rPr>
                <w:sz w:val="23"/>
                <w:szCs w:val="23"/>
              </w:rPr>
            </w:pPr>
            <w:r>
              <w:rPr>
                <w:sz w:val="23"/>
                <w:szCs w:val="23"/>
              </w:rPr>
              <w:t>2</w:t>
            </w:r>
          </w:p>
          <w:p>
            <w:pPr>
              <w:pStyle w:val="28"/>
              <w:spacing w:before="4" w:line="242" w:lineRule="auto"/>
              <w:ind w:left="5" w:right="-35"/>
              <w:rPr>
                <w:sz w:val="23"/>
                <w:szCs w:val="23"/>
              </w:rPr>
            </w:pPr>
            <w:r>
              <w:rPr>
                <w:sz w:val="23"/>
                <w:szCs w:val="23"/>
              </w:rPr>
              <w:t>. 1</w:t>
            </w:r>
          </w:p>
          <w:p>
            <w:pPr>
              <w:pStyle w:val="28"/>
              <w:spacing w:before="1" w:line="242" w:lineRule="auto"/>
              <w:ind w:left="5" w:right="-35"/>
              <w:rPr>
                <w:sz w:val="23"/>
                <w:szCs w:val="23"/>
              </w:rPr>
            </w:pPr>
            <w:r>
              <w:rPr>
                <w:sz w:val="23"/>
                <w:szCs w:val="23"/>
              </w:rPr>
              <w:t>. 3</w:t>
            </w:r>
          </w:p>
        </w:tc>
        <w:tc>
          <w:tcPr>
            <w:tcW w:w="238" w:type="pct"/>
            <w:vMerge w:val="restart"/>
          </w:tcPr>
          <w:p>
            <w:pPr>
              <w:pStyle w:val="28"/>
              <w:spacing w:line="242" w:lineRule="auto"/>
              <w:ind w:left="10" w:right="-15"/>
              <w:jc w:val="both"/>
              <w:rPr>
                <w:sz w:val="23"/>
                <w:szCs w:val="23"/>
              </w:rPr>
            </w:pPr>
            <w:r>
              <w:rPr>
                <w:sz w:val="23"/>
                <w:szCs w:val="23"/>
              </w:rPr>
              <w:t>形式评审与响应性评审</w:t>
            </w:r>
          </w:p>
        </w:tc>
        <w:tc>
          <w:tcPr>
            <w:tcW w:w="909" w:type="pct"/>
            <w:vAlign w:val="center"/>
          </w:tcPr>
          <w:p>
            <w:pPr>
              <w:pStyle w:val="28"/>
              <w:spacing w:before="13" w:line="370" w:lineRule="atLeast"/>
              <w:ind w:left="10" w:right="28"/>
              <w:rPr>
                <w:sz w:val="23"/>
                <w:szCs w:val="23"/>
              </w:rPr>
            </w:pPr>
            <w:r>
              <w:rPr>
                <w:sz w:val="23"/>
                <w:szCs w:val="23"/>
              </w:rPr>
              <w:t>营业执照</w:t>
            </w:r>
          </w:p>
        </w:tc>
        <w:tc>
          <w:tcPr>
            <w:tcW w:w="3629" w:type="pct"/>
            <w:vAlign w:val="center"/>
          </w:tcPr>
          <w:p>
            <w:pPr>
              <w:pStyle w:val="28"/>
              <w:ind w:left="10"/>
              <w:rPr>
                <w:sz w:val="23"/>
                <w:szCs w:val="23"/>
              </w:rPr>
            </w:pPr>
            <w:r>
              <w:rPr>
                <w:sz w:val="23"/>
                <w:szCs w:val="23"/>
              </w:rPr>
              <w:t>投标人名称与营业执照一致；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1" w:hRule="atLeast"/>
        </w:trPr>
        <w:tc>
          <w:tcPr>
            <w:tcW w:w="224" w:type="pct"/>
            <w:vMerge w:val="continue"/>
            <w:tcBorders>
              <w:top w:val="nil"/>
            </w:tcBorders>
          </w:tcPr>
          <w:p>
            <w:pPr>
              <w:rPr>
                <w:sz w:val="23"/>
                <w:szCs w:val="23"/>
              </w:rPr>
            </w:pPr>
          </w:p>
        </w:tc>
        <w:tc>
          <w:tcPr>
            <w:tcW w:w="238" w:type="pct"/>
            <w:vMerge w:val="continue"/>
            <w:tcBorders>
              <w:top w:val="nil"/>
            </w:tcBorders>
          </w:tcPr>
          <w:p>
            <w:pPr>
              <w:rPr>
                <w:sz w:val="23"/>
                <w:szCs w:val="23"/>
              </w:rPr>
            </w:pPr>
          </w:p>
        </w:tc>
        <w:tc>
          <w:tcPr>
            <w:tcW w:w="909" w:type="pct"/>
            <w:vAlign w:val="center"/>
          </w:tcPr>
          <w:p>
            <w:pPr>
              <w:pStyle w:val="28"/>
              <w:spacing w:before="13" w:line="370" w:lineRule="atLeast"/>
              <w:ind w:left="10" w:right="28"/>
              <w:jc w:val="both"/>
              <w:rPr>
                <w:sz w:val="23"/>
                <w:szCs w:val="23"/>
              </w:rPr>
            </w:pPr>
            <w:r>
              <w:rPr>
                <w:sz w:val="23"/>
                <w:szCs w:val="23"/>
              </w:rPr>
              <w:t>投标文件格式</w:t>
            </w:r>
          </w:p>
        </w:tc>
        <w:tc>
          <w:tcPr>
            <w:tcW w:w="3629" w:type="pct"/>
            <w:vAlign w:val="center"/>
          </w:tcPr>
          <w:p>
            <w:pPr>
              <w:pStyle w:val="28"/>
              <w:ind w:left="10"/>
              <w:rPr>
                <w:sz w:val="23"/>
                <w:szCs w:val="23"/>
              </w:rPr>
            </w:pPr>
            <w:r>
              <w:rPr>
                <w:sz w:val="23"/>
                <w:szCs w:val="23"/>
              </w:rPr>
              <w:t>投标文件按照招标文件规定的格式、内容填写，内容齐全；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0" w:hRule="atLeast"/>
        </w:trPr>
        <w:tc>
          <w:tcPr>
            <w:tcW w:w="224" w:type="pct"/>
            <w:vMerge w:val="continue"/>
            <w:tcBorders>
              <w:top w:val="nil"/>
            </w:tcBorders>
          </w:tcPr>
          <w:p>
            <w:pPr>
              <w:rPr>
                <w:sz w:val="23"/>
                <w:szCs w:val="23"/>
              </w:rPr>
            </w:pPr>
          </w:p>
        </w:tc>
        <w:tc>
          <w:tcPr>
            <w:tcW w:w="238" w:type="pct"/>
            <w:vMerge w:val="continue"/>
            <w:tcBorders>
              <w:top w:val="nil"/>
            </w:tcBorders>
          </w:tcPr>
          <w:p>
            <w:pPr>
              <w:rPr>
                <w:sz w:val="23"/>
                <w:szCs w:val="23"/>
              </w:rPr>
            </w:pPr>
          </w:p>
        </w:tc>
        <w:tc>
          <w:tcPr>
            <w:tcW w:w="909" w:type="pct"/>
            <w:vAlign w:val="center"/>
          </w:tcPr>
          <w:p>
            <w:pPr>
              <w:pStyle w:val="28"/>
              <w:spacing w:before="13" w:line="370" w:lineRule="atLeast"/>
              <w:ind w:left="10" w:right="28"/>
              <w:rPr>
                <w:sz w:val="23"/>
                <w:szCs w:val="23"/>
              </w:rPr>
            </w:pPr>
            <w:r>
              <w:rPr>
                <w:sz w:val="23"/>
                <w:szCs w:val="23"/>
              </w:rPr>
              <w:t>投标担保</w:t>
            </w:r>
          </w:p>
        </w:tc>
        <w:tc>
          <w:tcPr>
            <w:tcW w:w="3629" w:type="pct"/>
            <w:vAlign w:val="center"/>
          </w:tcPr>
          <w:p>
            <w:pPr>
              <w:pStyle w:val="28"/>
              <w:spacing w:before="13" w:line="370" w:lineRule="atLeast"/>
              <w:ind w:left="10" w:right="79"/>
              <w:rPr>
                <w:sz w:val="23"/>
                <w:szCs w:val="23"/>
              </w:rPr>
            </w:pPr>
            <w:r>
              <w:rPr>
                <w:sz w:val="23"/>
                <w:szCs w:val="23"/>
              </w:rPr>
              <w:t>投标人按照招标文件规定的金额、形式、时效和内容提供了投标担保；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3" w:hRule="atLeast"/>
        </w:trPr>
        <w:tc>
          <w:tcPr>
            <w:tcW w:w="224" w:type="pct"/>
            <w:vMerge w:val="continue"/>
            <w:tcBorders>
              <w:top w:val="nil"/>
            </w:tcBorders>
          </w:tcPr>
          <w:p>
            <w:pPr>
              <w:rPr>
                <w:sz w:val="23"/>
                <w:szCs w:val="23"/>
              </w:rPr>
            </w:pPr>
          </w:p>
        </w:tc>
        <w:tc>
          <w:tcPr>
            <w:tcW w:w="238" w:type="pct"/>
            <w:vMerge w:val="continue"/>
            <w:tcBorders>
              <w:top w:val="nil"/>
            </w:tcBorders>
          </w:tcPr>
          <w:p>
            <w:pPr>
              <w:rPr>
                <w:sz w:val="23"/>
                <w:szCs w:val="23"/>
              </w:rPr>
            </w:pPr>
          </w:p>
        </w:tc>
        <w:tc>
          <w:tcPr>
            <w:tcW w:w="909" w:type="pct"/>
            <w:vAlign w:val="center"/>
          </w:tcPr>
          <w:p>
            <w:pPr>
              <w:pStyle w:val="28"/>
              <w:spacing w:line="292" w:lineRule="auto"/>
              <w:ind w:left="10" w:right="28"/>
              <w:rPr>
                <w:sz w:val="23"/>
                <w:szCs w:val="23"/>
              </w:rPr>
            </w:pPr>
            <w:r>
              <w:rPr>
                <w:sz w:val="23"/>
                <w:szCs w:val="23"/>
              </w:rPr>
              <w:t>签字盖章</w:t>
            </w:r>
          </w:p>
        </w:tc>
        <w:tc>
          <w:tcPr>
            <w:tcW w:w="3629" w:type="pct"/>
            <w:vAlign w:val="center"/>
          </w:tcPr>
          <w:p>
            <w:pPr>
              <w:pStyle w:val="28"/>
              <w:spacing w:before="13" w:line="370" w:lineRule="atLeast"/>
              <w:ind w:left="10" w:right="79"/>
              <w:jc w:val="both"/>
              <w:rPr>
                <w:sz w:val="23"/>
                <w:szCs w:val="23"/>
              </w:rPr>
            </w:pPr>
            <w:r>
              <w:rPr>
                <w:sz w:val="23"/>
                <w:szCs w:val="23"/>
              </w:rPr>
              <w:t>“投标文件格式”中要求盖单位章和（或）签字的地方，投标人均应加盖投标人的单位</w:t>
            </w:r>
            <w:r>
              <w:rPr>
                <w:rFonts w:hint="eastAsia"/>
                <w:sz w:val="23"/>
                <w:szCs w:val="23"/>
              </w:rPr>
              <w:t>公章</w:t>
            </w:r>
            <w:r>
              <w:rPr>
                <w:sz w:val="23"/>
                <w:szCs w:val="23"/>
              </w:rPr>
              <w:t>和（或）</w:t>
            </w:r>
            <w:r>
              <w:rPr>
                <w:rFonts w:hint="eastAsia"/>
                <w:sz w:val="23"/>
                <w:szCs w:val="23"/>
              </w:rPr>
              <w:t>响应人员</w:t>
            </w:r>
            <w:r>
              <w:rPr>
                <w:sz w:val="23"/>
                <w:szCs w:val="23"/>
              </w:rPr>
              <w:t>的</w:t>
            </w:r>
            <w:r>
              <w:rPr>
                <w:rFonts w:hint="eastAsia"/>
                <w:sz w:val="23"/>
                <w:szCs w:val="23"/>
              </w:rPr>
              <w:t>个人亲笔签名</w:t>
            </w:r>
            <w:r>
              <w:rPr>
                <w:sz w:val="23"/>
                <w:szCs w:val="23"/>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trPr>
        <w:tc>
          <w:tcPr>
            <w:tcW w:w="224" w:type="pct"/>
            <w:vMerge w:val="continue"/>
            <w:tcBorders>
              <w:top w:val="nil"/>
            </w:tcBorders>
          </w:tcPr>
          <w:p>
            <w:pPr>
              <w:rPr>
                <w:sz w:val="23"/>
                <w:szCs w:val="23"/>
              </w:rPr>
            </w:pPr>
          </w:p>
        </w:tc>
        <w:tc>
          <w:tcPr>
            <w:tcW w:w="238" w:type="pct"/>
            <w:vMerge w:val="continue"/>
            <w:tcBorders>
              <w:top w:val="nil"/>
            </w:tcBorders>
          </w:tcPr>
          <w:p>
            <w:pPr>
              <w:rPr>
                <w:sz w:val="23"/>
                <w:szCs w:val="23"/>
              </w:rPr>
            </w:pPr>
          </w:p>
        </w:tc>
        <w:tc>
          <w:tcPr>
            <w:tcW w:w="909" w:type="pct"/>
            <w:vAlign w:val="center"/>
          </w:tcPr>
          <w:p>
            <w:pPr>
              <w:pStyle w:val="28"/>
              <w:spacing w:before="75" w:line="290" w:lineRule="exact"/>
              <w:ind w:left="10"/>
              <w:rPr>
                <w:sz w:val="23"/>
                <w:szCs w:val="23"/>
              </w:rPr>
            </w:pPr>
            <w:r>
              <w:rPr>
                <w:sz w:val="23"/>
                <w:szCs w:val="23"/>
              </w:rPr>
              <w:t>工期</w:t>
            </w:r>
          </w:p>
        </w:tc>
        <w:tc>
          <w:tcPr>
            <w:tcW w:w="3629" w:type="pct"/>
            <w:vAlign w:val="center"/>
          </w:tcPr>
          <w:p>
            <w:pPr>
              <w:pStyle w:val="28"/>
              <w:spacing w:before="75" w:line="290" w:lineRule="exact"/>
              <w:ind w:left="10"/>
              <w:rPr>
                <w:sz w:val="23"/>
                <w:szCs w:val="23"/>
              </w:rPr>
            </w:pPr>
            <w:r>
              <w:rPr>
                <w:sz w:val="23"/>
                <w:szCs w:val="23"/>
              </w:rPr>
              <w:t>投标函中招标项目完成期限未超过招标文件规定的期限；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5" w:hRule="atLeast"/>
        </w:trPr>
        <w:tc>
          <w:tcPr>
            <w:tcW w:w="224" w:type="pct"/>
            <w:vMerge w:val="continue"/>
            <w:tcBorders>
              <w:top w:val="nil"/>
            </w:tcBorders>
          </w:tcPr>
          <w:p>
            <w:pPr>
              <w:rPr>
                <w:sz w:val="23"/>
                <w:szCs w:val="23"/>
              </w:rPr>
            </w:pPr>
          </w:p>
        </w:tc>
        <w:tc>
          <w:tcPr>
            <w:tcW w:w="238" w:type="pct"/>
            <w:vMerge w:val="continue"/>
            <w:tcBorders>
              <w:top w:val="nil"/>
            </w:tcBorders>
          </w:tcPr>
          <w:p>
            <w:pPr>
              <w:rPr>
                <w:sz w:val="23"/>
                <w:szCs w:val="23"/>
              </w:rPr>
            </w:pPr>
          </w:p>
        </w:tc>
        <w:tc>
          <w:tcPr>
            <w:tcW w:w="909" w:type="pct"/>
            <w:vAlign w:val="center"/>
          </w:tcPr>
          <w:p>
            <w:pPr>
              <w:pStyle w:val="28"/>
              <w:spacing w:before="75" w:line="290" w:lineRule="exact"/>
              <w:ind w:left="10"/>
              <w:rPr>
                <w:sz w:val="23"/>
                <w:szCs w:val="23"/>
              </w:rPr>
            </w:pPr>
            <w:r>
              <w:rPr>
                <w:rFonts w:hint="eastAsia"/>
                <w:sz w:val="23"/>
                <w:szCs w:val="23"/>
              </w:rPr>
              <w:t>分包</w:t>
            </w:r>
          </w:p>
        </w:tc>
        <w:tc>
          <w:tcPr>
            <w:tcW w:w="3629" w:type="pct"/>
            <w:vAlign w:val="center"/>
          </w:tcPr>
          <w:p>
            <w:pPr>
              <w:pStyle w:val="28"/>
              <w:spacing w:before="75" w:line="290" w:lineRule="exact"/>
              <w:ind w:left="10"/>
              <w:rPr>
                <w:sz w:val="23"/>
                <w:szCs w:val="23"/>
              </w:rPr>
            </w:pPr>
            <w:r>
              <w:rPr>
                <w:rFonts w:hint="eastAsia"/>
                <w:sz w:val="23"/>
                <w:szCs w:val="23"/>
              </w:rPr>
              <w:t>投标人无分包计划；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9" w:hRule="atLeast"/>
        </w:trPr>
        <w:tc>
          <w:tcPr>
            <w:tcW w:w="224" w:type="pct"/>
            <w:vMerge w:val="continue"/>
            <w:tcBorders>
              <w:top w:val="nil"/>
            </w:tcBorders>
          </w:tcPr>
          <w:p>
            <w:pPr>
              <w:rPr>
                <w:sz w:val="23"/>
                <w:szCs w:val="23"/>
              </w:rPr>
            </w:pPr>
          </w:p>
        </w:tc>
        <w:tc>
          <w:tcPr>
            <w:tcW w:w="238" w:type="pct"/>
            <w:vMerge w:val="continue"/>
            <w:tcBorders>
              <w:top w:val="nil"/>
            </w:tcBorders>
          </w:tcPr>
          <w:p>
            <w:pPr>
              <w:rPr>
                <w:sz w:val="23"/>
                <w:szCs w:val="23"/>
              </w:rPr>
            </w:pPr>
          </w:p>
        </w:tc>
        <w:tc>
          <w:tcPr>
            <w:tcW w:w="909" w:type="pct"/>
            <w:vAlign w:val="center"/>
          </w:tcPr>
          <w:p>
            <w:pPr>
              <w:pStyle w:val="28"/>
              <w:ind w:left="10"/>
              <w:rPr>
                <w:sz w:val="23"/>
                <w:szCs w:val="23"/>
              </w:rPr>
            </w:pPr>
            <w:r>
              <w:rPr>
                <w:sz w:val="23"/>
                <w:szCs w:val="23"/>
              </w:rPr>
              <w:t>其他</w:t>
            </w:r>
          </w:p>
        </w:tc>
        <w:tc>
          <w:tcPr>
            <w:tcW w:w="3629" w:type="pct"/>
            <w:vAlign w:val="center"/>
          </w:tcPr>
          <w:p>
            <w:pPr>
              <w:pStyle w:val="28"/>
              <w:spacing w:before="13" w:line="370" w:lineRule="atLeast"/>
              <w:ind w:left="10" w:right="79"/>
              <w:rPr>
                <w:sz w:val="23"/>
                <w:szCs w:val="23"/>
              </w:rPr>
            </w:pPr>
            <w:r>
              <w:rPr>
                <w:sz w:val="23"/>
                <w:szCs w:val="23"/>
              </w:rPr>
              <w:t>投标文件未附有招标人不能接受的超出招标文件范围的附加条件；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5" w:hRule="atLeast"/>
        </w:trPr>
        <w:tc>
          <w:tcPr>
            <w:tcW w:w="224" w:type="pct"/>
            <w:vMerge w:val="continue"/>
            <w:tcBorders>
              <w:top w:val="nil"/>
            </w:tcBorders>
          </w:tcPr>
          <w:p>
            <w:pPr>
              <w:rPr>
                <w:sz w:val="23"/>
                <w:szCs w:val="23"/>
              </w:rPr>
            </w:pPr>
          </w:p>
        </w:tc>
        <w:tc>
          <w:tcPr>
            <w:tcW w:w="238" w:type="pct"/>
            <w:vMerge w:val="continue"/>
            <w:tcBorders>
              <w:top w:val="nil"/>
            </w:tcBorders>
          </w:tcPr>
          <w:p>
            <w:pPr>
              <w:rPr>
                <w:sz w:val="23"/>
                <w:szCs w:val="23"/>
              </w:rPr>
            </w:pPr>
          </w:p>
        </w:tc>
        <w:tc>
          <w:tcPr>
            <w:tcW w:w="909" w:type="pct"/>
            <w:vAlign w:val="center"/>
          </w:tcPr>
          <w:p>
            <w:pPr>
              <w:pStyle w:val="28"/>
              <w:spacing w:before="13" w:line="370" w:lineRule="atLeast"/>
              <w:ind w:left="10" w:right="28"/>
              <w:rPr>
                <w:sz w:val="23"/>
                <w:szCs w:val="23"/>
              </w:rPr>
            </w:pPr>
            <w:r>
              <w:rPr>
                <w:sz w:val="23"/>
                <w:szCs w:val="23"/>
              </w:rPr>
              <w:t>权利义务</w:t>
            </w:r>
          </w:p>
        </w:tc>
        <w:tc>
          <w:tcPr>
            <w:tcW w:w="3629" w:type="pct"/>
            <w:vAlign w:val="center"/>
          </w:tcPr>
          <w:p>
            <w:pPr>
              <w:pStyle w:val="28"/>
              <w:spacing w:before="13" w:line="370" w:lineRule="atLeast"/>
              <w:ind w:left="10" w:right="79"/>
              <w:rPr>
                <w:sz w:val="23"/>
                <w:szCs w:val="23"/>
              </w:rPr>
            </w:pPr>
            <w:r>
              <w:rPr>
                <w:sz w:val="23"/>
                <w:szCs w:val="23"/>
              </w:rPr>
              <w:t>权利义务符合招标文件规定；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7" w:hRule="atLeast"/>
        </w:trPr>
        <w:tc>
          <w:tcPr>
            <w:tcW w:w="224" w:type="pct"/>
            <w:vMerge w:val="continue"/>
            <w:tcBorders>
              <w:top w:val="nil"/>
            </w:tcBorders>
          </w:tcPr>
          <w:p>
            <w:pPr>
              <w:rPr>
                <w:sz w:val="23"/>
                <w:szCs w:val="23"/>
              </w:rPr>
            </w:pPr>
          </w:p>
        </w:tc>
        <w:tc>
          <w:tcPr>
            <w:tcW w:w="238" w:type="pct"/>
            <w:vMerge w:val="continue"/>
            <w:tcBorders>
              <w:top w:val="nil"/>
            </w:tcBorders>
          </w:tcPr>
          <w:p>
            <w:pPr>
              <w:rPr>
                <w:sz w:val="23"/>
                <w:szCs w:val="23"/>
              </w:rPr>
            </w:pPr>
          </w:p>
        </w:tc>
        <w:tc>
          <w:tcPr>
            <w:tcW w:w="909" w:type="pct"/>
            <w:vAlign w:val="center"/>
          </w:tcPr>
          <w:p>
            <w:pPr>
              <w:pStyle w:val="28"/>
              <w:spacing w:before="13" w:line="370" w:lineRule="atLeast"/>
              <w:ind w:left="10" w:right="28"/>
              <w:rPr>
                <w:sz w:val="23"/>
                <w:szCs w:val="23"/>
              </w:rPr>
            </w:pPr>
            <w:r>
              <w:rPr>
                <w:sz w:val="23"/>
                <w:szCs w:val="23"/>
              </w:rPr>
              <w:t>工作大纲</w:t>
            </w:r>
          </w:p>
        </w:tc>
        <w:tc>
          <w:tcPr>
            <w:tcW w:w="3629" w:type="pct"/>
            <w:vAlign w:val="center"/>
          </w:tcPr>
          <w:p>
            <w:pPr>
              <w:pStyle w:val="28"/>
              <w:spacing w:before="13" w:line="370" w:lineRule="atLeast"/>
              <w:ind w:left="10" w:right="79"/>
              <w:rPr>
                <w:sz w:val="23"/>
                <w:szCs w:val="23"/>
              </w:rPr>
            </w:pPr>
            <w:r>
              <w:rPr>
                <w:sz w:val="23"/>
                <w:szCs w:val="23"/>
              </w:rPr>
              <w:t>符合招标文件中的实质性要求和条件</w:t>
            </w:r>
          </w:p>
        </w:tc>
      </w:tr>
    </w:tbl>
    <w:p>
      <w:pPr>
        <w:rPr>
          <w:sz w:val="24"/>
        </w:rPr>
        <w:sectPr>
          <w:pgSz w:w="12240" w:h="15840"/>
          <w:pgMar w:top="1361" w:right="1474" w:bottom="1361" w:left="1474" w:header="720" w:footer="720" w:gutter="0"/>
          <w:cols w:space="720" w:num="1"/>
        </w:sectPr>
      </w:pPr>
    </w:p>
    <w:tbl>
      <w:tblPr>
        <w:tblStyle w:val="26"/>
        <w:tblW w:w="5040"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514"/>
        <w:gridCol w:w="11"/>
        <w:gridCol w:w="253"/>
        <w:gridCol w:w="441"/>
        <w:gridCol w:w="1209"/>
        <w:gridCol w:w="150"/>
        <w:gridCol w:w="1130"/>
        <w:gridCol w:w="2164"/>
        <w:gridCol w:w="1646"/>
        <w:gridCol w:w="325"/>
        <w:gridCol w:w="708"/>
        <w:gridCol w:w="774"/>
        <w:gridCol w:w="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274" w:type="pct"/>
            <w:vMerge w:val="restart"/>
            <w:tcBorders>
              <w:bottom w:val="single" w:color="000000" w:sz="8" w:space="0"/>
            </w:tcBorders>
          </w:tcPr>
          <w:p>
            <w:pPr>
              <w:pStyle w:val="28"/>
              <w:spacing w:line="293" w:lineRule="exact"/>
              <w:ind w:left="5" w:right="-29"/>
              <w:jc w:val="center"/>
              <w:rPr>
                <w:sz w:val="23"/>
                <w:szCs w:val="23"/>
              </w:rPr>
            </w:pPr>
            <w:r>
              <w:rPr>
                <w:sz w:val="23"/>
                <w:szCs w:val="23"/>
              </w:rPr>
              <w:t>2</w:t>
            </w:r>
          </w:p>
          <w:p>
            <w:pPr>
              <w:pStyle w:val="28"/>
              <w:spacing w:line="261" w:lineRule="exact"/>
              <w:ind w:left="5" w:right="-29"/>
              <w:rPr>
                <w:sz w:val="23"/>
                <w:szCs w:val="23"/>
              </w:rPr>
            </w:pPr>
            <w:r>
              <w:rPr>
                <w:sz w:val="23"/>
                <w:szCs w:val="23"/>
              </w:rPr>
              <w:t>.</w:t>
            </w:r>
          </w:p>
          <w:p>
            <w:pPr>
              <w:pStyle w:val="28"/>
              <w:spacing w:before="3"/>
              <w:ind w:left="5" w:right="-29"/>
              <w:rPr>
                <w:sz w:val="23"/>
                <w:szCs w:val="23"/>
              </w:rPr>
            </w:pPr>
            <w:r>
              <w:rPr>
                <w:sz w:val="23"/>
                <w:szCs w:val="23"/>
              </w:rPr>
              <w:t>1</w:t>
            </w:r>
          </w:p>
          <w:p>
            <w:pPr>
              <w:pStyle w:val="28"/>
              <w:spacing w:before="4" w:line="273" w:lineRule="exact"/>
              <w:ind w:left="5" w:right="-29"/>
              <w:rPr>
                <w:sz w:val="23"/>
                <w:szCs w:val="23"/>
              </w:rPr>
            </w:pPr>
            <w:r>
              <w:rPr>
                <w:sz w:val="23"/>
                <w:szCs w:val="23"/>
              </w:rPr>
              <w:t>.</w:t>
            </w:r>
          </w:p>
          <w:p>
            <w:pPr>
              <w:pStyle w:val="28"/>
              <w:spacing w:line="303" w:lineRule="exact"/>
              <w:ind w:left="5" w:right="-29"/>
              <w:jc w:val="center"/>
              <w:rPr>
                <w:rFonts w:ascii="Times New Roman"/>
                <w:sz w:val="23"/>
                <w:szCs w:val="23"/>
              </w:rPr>
            </w:pPr>
            <w:r>
              <w:rPr>
                <w:sz w:val="23"/>
                <w:szCs w:val="23"/>
              </w:rPr>
              <w:t>2</w:t>
            </w:r>
          </w:p>
        </w:tc>
        <w:tc>
          <w:tcPr>
            <w:tcW w:w="375" w:type="pct"/>
            <w:gridSpan w:val="3"/>
            <w:vMerge w:val="restart"/>
            <w:tcBorders>
              <w:bottom w:val="single" w:color="000000" w:sz="8" w:space="0"/>
            </w:tcBorders>
          </w:tcPr>
          <w:p>
            <w:pPr>
              <w:pStyle w:val="28"/>
              <w:spacing w:before="1" w:line="242" w:lineRule="auto"/>
              <w:ind w:left="10" w:right="-15"/>
              <w:rPr>
                <w:sz w:val="23"/>
                <w:szCs w:val="23"/>
              </w:rPr>
            </w:pPr>
            <w:r>
              <w:rPr>
                <w:sz w:val="23"/>
                <w:szCs w:val="23"/>
              </w:rPr>
              <w:t>资格评审</w:t>
            </w:r>
          </w:p>
        </w:tc>
        <w:tc>
          <w:tcPr>
            <w:tcW w:w="644" w:type="pct"/>
            <w:tcBorders>
              <w:bottom w:val="single" w:color="000000" w:sz="8" w:space="0"/>
            </w:tcBorders>
            <w:vAlign w:val="center"/>
          </w:tcPr>
          <w:p>
            <w:pPr>
              <w:pStyle w:val="28"/>
              <w:spacing w:before="23"/>
              <w:ind w:left="10"/>
              <w:jc w:val="center"/>
              <w:rPr>
                <w:rFonts w:ascii="Times New Roman"/>
                <w:sz w:val="23"/>
                <w:szCs w:val="23"/>
              </w:rPr>
            </w:pPr>
            <w:r>
              <w:rPr>
                <w:sz w:val="23"/>
                <w:szCs w:val="23"/>
              </w:rPr>
              <w:t>企业资质</w:t>
            </w:r>
          </w:p>
        </w:tc>
        <w:tc>
          <w:tcPr>
            <w:tcW w:w="3707" w:type="pct"/>
            <w:gridSpan w:val="8"/>
            <w:tcBorders>
              <w:bottom w:val="single" w:color="000000" w:sz="8" w:space="0"/>
            </w:tcBorders>
            <w:vAlign w:val="center"/>
          </w:tcPr>
          <w:p>
            <w:pPr>
              <w:pStyle w:val="28"/>
              <w:spacing w:before="23"/>
              <w:ind w:left="10"/>
              <w:rPr>
                <w:sz w:val="23"/>
                <w:szCs w:val="23"/>
              </w:rPr>
            </w:pPr>
            <w:r>
              <w:rPr>
                <w:rFonts w:hint="eastAsia"/>
                <w:sz w:val="23"/>
                <w:szCs w:val="23"/>
              </w:rPr>
              <w:t>详见招标公告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274" w:type="pct"/>
            <w:vMerge w:val="continue"/>
          </w:tcPr>
          <w:p>
            <w:pPr>
              <w:pStyle w:val="28"/>
              <w:spacing w:line="303" w:lineRule="exact"/>
              <w:ind w:left="5" w:right="-29"/>
              <w:jc w:val="center"/>
              <w:rPr>
                <w:rFonts w:ascii="Times New Roman"/>
                <w:sz w:val="23"/>
                <w:szCs w:val="23"/>
              </w:rPr>
            </w:pPr>
          </w:p>
        </w:tc>
        <w:tc>
          <w:tcPr>
            <w:tcW w:w="375" w:type="pct"/>
            <w:gridSpan w:val="3"/>
            <w:vMerge w:val="continue"/>
            <w:tcBorders>
              <w:top w:val="nil"/>
            </w:tcBorders>
          </w:tcPr>
          <w:p>
            <w:pPr>
              <w:rPr>
                <w:sz w:val="23"/>
                <w:szCs w:val="23"/>
              </w:rPr>
            </w:pPr>
          </w:p>
        </w:tc>
        <w:tc>
          <w:tcPr>
            <w:tcW w:w="644" w:type="pct"/>
            <w:vAlign w:val="center"/>
          </w:tcPr>
          <w:p>
            <w:pPr>
              <w:pStyle w:val="28"/>
              <w:spacing w:line="292" w:lineRule="auto"/>
              <w:ind w:left="10" w:right="28"/>
              <w:jc w:val="center"/>
              <w:rPr>
                <w:sz w:val="23"/>
                <w:szCs w:val="23"/>
              </w:rPr>
            </w:pPr>
            <w:r>
              <w:rPr>
                <w:sz w:val="23"/>
                <w:szCs w:val="23"/>
              </w:rPr>
              <w:t>业绩要求</w:t>
            </w:r>
          </w:p>
        </w:tc>
        <w:tc>
          <w:tcPr>
            <w:tcW w:w="3707" w:type="pct"/>
            <w:gridSpan w:val="8"/>
            <w:vAlign w:val="center"/>
          </w:tcPr>
          <w:p>
            <w:pPr>
              <w:pStyle w:val="28"/>
              <w:spacing w:before="23"/>
              <w:ind w:left="10"/>
              <w:rPr>
                <w:sz w:val="23"/>
                <w:szCs w:val="23"/>
              </w:rPr>
            </w:pPr>
            <w:r>
              <w:rPr>
                <w:rFonts w:hint="eastAsia"/>
                <w:sz w:val="23"/>
                <w:szCs w:val="23"/>
              </w:rPr>
              <w:t>详见招标公告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274" w:type="pct"/>
            <w:vMerge w:val="continue"/>
            <w:tcBorders>
              <w:bottom w:val="single" w:color="000000" w:sz="8" w:space="0"/>
            </w:tcBorders>
          </w:tcPr>
          <w:p>
            <w:pPr>
              <w:pStyle w:val="28"/>
              <w:spacing w:line="303" w:lineRule="exact"/>
              <w:ind w:left="5" w:right="-29"/>
              <w:jc w:val="center"/>
              <w:rPr>
                <w:rFonts w:ascii="Times New Roman"/>
                <w:sz w:val="23"/>
                <w:szCs w:val="23"/>
              </w:rPr>
            </w:pPr>
          </w:p>
        </w:tc>
        <w:tc>
          <w:tcPr>
            <w:tcW w:w="375" w:type="pct"/>
            <w:gridSpan w:val="3"/>
            <w:vMerge w:val="continue"/>
            <w:tcBorders>
              <w:top w:val="nil"/>
              <w:bottom w:val="single" w:color="000000" w:sz="8" w:space="0"/>
            </w:tcBorders>
          </w:tcPr>
          <w:p>
            <w:pPr>
              <w:rPr>
                <w:sz w:val="23"/>
                <w:szCs w:val="23"/>
              </w:rPr>
            </w:pPr>
          </w:p>
        </w:tc>
        <w:tc>
          <w:tcPr>
            <w:tcW w:w="644" w:type="pct"/>
            <w:tcBorders>
              <w:bottom w:val="single" w:color="000000" w:sz="8" w:space="0"/>
            </w:tcBorders>
            <w:vAlign w:val="center"/>
          </w:tcPr>
          <w:p>
            <w:pPr>
              <w:pStyle w:val="28"/>
              <w:spacing w:before="23"/>
              <w:ind w:left="10"/>
              <w:jc w:val="center"/>
              <w:rPr>
                <w:rFonts w:ascii="Times New Roman"/>
                <w:sz w:val="23"/>
                <w:szCs w:val="23"/>
              </w:rPr>
            </w:pPr>
            <w:r>
              <w:rPr>
                <w:sz w:val="23"/>
                <w:szCs w:val="23"/>
              </w:rPr>
              <w:t>项目负责人资格</w:t>
            </w:r>
          </w:p>
        </w:tc>
        <w:tc>
          <w:tcPr>
            <w:tcW w:w="3707" w:type="pct"/>
            <w:gridSpan w:val="8"/>
            <w:tcBorders>
              <w:bottom w:val="single" w:color="000000" w:sz="8" w:space="0"/>
            </w:tcBorders>
            <w:vAlign w:val="center"/>
          </w:tcPr>
          <w:p>
            <w:pPr>
              <w:pStyle w:val="28"/>
              <w:spacing w:before="23"/>
              <w:ind w:left="10"/>
              <w:rPr>
                <w:sz w:val="23"/>
                <w:szCs w:val="23"/>
              </w:rPr>
            </w:pPr>
            <w:r>
              <w:rPr>
                <w:rFonts w:hint="eastAsia"/>
                <w:sz w:val="23"/>
                <w:szCs w:val="23"/>
              </w:rPr>
              <w:t>详见招标公告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3" w:hRule="atLeast"/>
        </w:trPr>
        <w:tc>
          <w:tcPr>
            <w:tcW w:w="274" w:type="pct"/>
            <w:vMerge w:val="continue"/>
          </w:tcPr>
          <w:p>
            <w:pPr>
              <w:pStyle w:val="28"/>
              <w:spacing w:line="303" w:lineRule="exact"/>
              <w:ind w:left="5" w:right="-29"/>
              <w:jc w:val="center"/>
              <w:rPr>
                <w:sz w:val="23"/>
                <w:szCs w:val="23"/>
              </w:rPr>
            </w:pPr>
          </w:p>
        </w:tc>
        <w:tc>
          <w:tcPr>
            <w:tcW w:w="375" w:type="pct"/>
            <w:gridSpan w:val="3"/>
            <w:vMerge w:val="continue"/>
            <w:tcBorders>
              <w:top w:val="nil"/>
            </w:tcBorders>
          </w:tcPr>
          <w:p>
            <w:pPr>
              <w:rPr>
                <w:sz w:val="23"/>
                <w:szCs w:val="23"/>
              </w:rPr>
            </w:pPr>
          </w:p>
        </w:tc>
        <w:tc>
          <w:tcPr>
            <w:tcW w:w="644" w:type="pct"/>
            <w:vAlign w:val="center"/>
          </w:tcPr>
          <w:p>
            <w:pPr>
              <w:pStyle w:val="28"/>
              <w:spacing w:before="23"/>
              <w:ind w:left="10"/>
              <w:jc w:val="center"/>
              <w:rPr>
                <w:rFonts w:ascii="Times New Roman"/>
                <w:sz w:val="23"/>
                <w:szCs w:val="23"/>
              </w:rPr>
            </w:pPr>
            <w:r>
              <w:rPr>
                <w:sz w:val="23"/>
                <w:szCs w:val="23"/>
              </w:rPr>
              <w:t>信誉要求</w:t>
            </w:r>
          </w:p>
        </w:tc>
        <w:tc>
          <w:tcPr>
            <w:tcW w:w="3707" w:type="pct"/>
            <w:gridSpan w:val="8"/>
            <w:vAlign w:val="center"/>
          </w:tcPr>
          <w:p>
            <w:pPr>
              <w:pStyle w:val="28"/>
              <w:spacing w:before="23"/>
              <w:ind w:left="10"/>
              <w:rPr>
                <w:sz w:val="23"/>
                <w:szCs w:val="23"/>
              </w:rPr>
            </w:pPr>
            <w:r>
              <w:rPr>
                <w:rFonts w:hint="eastAsia"/>
                <w:sz w:val="23"/>
                <w:szCs w:val="23"/>
              </w:rPr>
              <w:t>详见招标公告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274" w:type="pct"/>
            <w:vMerge w:val="continue"/>
          </w:tcPr>
          <w:p>
            <w:pPr>
              <w:pStyle w:val="28"/>
              <w:rPr>
                <w:rFonts w:ascii="Times New Roman"/>
                <w:sz w:val="23"/>
                <w:szCs w:val="23"/>
              </w:rPr>
            </w:pPr>
          </w:p>
        </w:tc>
        <w:tc>
          <w:tcPr>
            <w:tcW w:w="375" w:type="pct"/>
            <w:gridSpan w:val="3"/>
            <w:vMerge w:val="continue"/>
            <w:tcBorders>
              <w:top w:val="nil"/>
            </w:tcBorders>
          </w:tcPr>
          <w:p>
            <w:pPr>
              <w:rPr>
                <w:sz w:val="23"/>
                <w:szCs w:val="23"/>
              </w:rPr>
            </w:pPr>
          </w:p>
        </w:tc>
        <w:tc>
          <w:tcPr>
            <w:tcW w:w="644" w:type="pct"/>
            <w:vAlign w:val="center"/>
          </w:tcPr>
          <w:p>
            <w:pPr>
              <w:pStyle w:val="28"/>
              <w:spacing w:before="13" w:line="370" w:lineRule="atLeast"/>
              <w:ind w:left="10" w:right="28"/>
              <w:jc w:val="center"/>
              <w:rPr>
                <w:sz w:val="23"/>
                <w:szCs w:val="23"/>
              </w:rPr>
            </w:pPr>
            <w:r>
              <w:rPr>
                <w:sz w:val="23"/>
                <w:szCs w:val="23"/>
              </w:rPr>
              <w:t>联合体</w:t>
            </w:r>
          </w:p>
        </w:tc>
        <w:tc>
          <w:tcPr>
            <w:tcW w:w="3707" w:type="pct"/>
            <w:gridSpan w:val="8"/>
            <w:vAlign w:val="center"/>
          </w:tcPr>
          <w:p>
            <w:pPr>
              <w:pStyle w:val="28"/>
              <w:spacing w:before="23"/>
              <w:ind w:left="10"/>
              <w:rPr>
                <w:sz w:val="23"/>
                <w:szCs w:val="23"/>
              </w:rPr>
            </w:pPr>
            <w:r>
              <w:rPr>
                <w:sz w:val="23"/>
                <w:szCs w:val="23"/>
              </w:rPr>
              <w:t>本项目不接受联合体形式。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88" w:hRule="atLeast"/>
        </w:trPr>
        <w:tc>
          <w:tcPr>
            <w:tcW w:w="274" w:type="pct"/>
            <w:vMerge w:val="continue"/>
          </w:tcPr>
          <w:p>
            <w:pPr>
              <w:pStyle w:val="28"/>
              <w:rPr>
                <w:rFonts w:ascii="Times New Roman"/>
                <w:sz w:val="23"/>
                <w:szCs w:val="23"/>
              </w:rPr>
            </w:pPr>
          </w:p>
        </w:tc>
        <w:tc>
          <w:tcPr>
            <w:tcW w:w="375" w:type="pct"/>
            <w:gridSpan w:val="3"/>
            <w:vMerge w:val="continue"/>
            <w:tcBorders>
              <w:top w:val="nil"/>
            </w:tcBorders>
          </w:tcPr>
          <w:p>
            <w:pPr>
              <w:rPr>
                <w:sz w:val="23"/>
                <w:szCs w:val="23"/>
              </w:rPr>
            </w:pPr>
          </w:p>
        </w:tc>
        <w:tc>
          <w:tcPr>
            <w:tcW w:w="644" w:type="pct"/>
            <w:vAlign w:val="center"/>
          </w:tcPr>
          <w:p>
            <w:pPr>
              <w:pStyle w:val="28"/>
              <w:spacing w:before="211"/>
              <w:ind w:left="10"/>
              <w:jc w:val="center"/>
              <w:rPr>
                <w:rFonts w:ascii="Times New Roman"/>
                <w:sz w:val="23"/>
                <w:szCs w:val="23"/>
              </w:rPr>
            </w:pPr>
            <w:r>
              <w:rPr>
                <w:sz w:val="23"/>
                <w:szCs w:val="23"/>
              </w:rPr>
              <w:t>其他</w:t>
            </w:r>
          </w:p>
        </w:tc>
        <w:tc>
          <w:tcPr>
            <w:tcW w:w="3707" w:type="pct"/>
            <w:gridSpan w:val="8"/>
          </w:tcPr>
          <w:p>
            <w:pPr>
              <w:pStyle w:val="28"/>
              <w:rPr>
                <w:sz w:val="23"/>
                <w:szCs w:val="23"/>
              </w:rPr>
            </w:pPr>
            <w:r>
              <w:rPr>
                <w:sz w:val="23"/>
                <w:szCs w:val="23"/>
              </w:rPr>
              <w:t>与招标人存在利害关系可能影响招标公正性的法人、其他组织或者个人，不得参加投标。单位负责人为同一人或者存在控股、管理关系的不同单位，不得参加同一标段投标或者未划分标段的同一招标项目投标。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82" w:hRule="atLeast"/>
        </w:trPr>
        <w:tc>
          <w:tcPr>
            <w:tcW w:w="649" w:type="pct"/>
            <w:gridSpan w:val="4"/>
          </w:tcPr>
          <w:p>
            <w:pPr>
              <w:pStyle w:val="28"/>
              <w:spacing w:line="242" w:lineRule="auto"/>
              <w:ind w:left="5" w:right="168"/>
              <w:rPr>
                <w:sz w:val="23"/>
                <w:szCs w:val="23"/>
              </w:rPr>
            </w:pPr>
            <w:r>
              <w:rPr>
                <w:sz w:val="23"/>
                <w:szCs w:val="23"/>
              </w:rPr>
              <w:t>分值构成</w:t>
            </w:r>
          </w:p>
          <w:p>
            <w:pPr>
              <w:pStyle w:val="28"/>
              <w:spacing w:before="1" w:line="242" w:lineRule="auto"/>
              <w:ind w:left="5" w:right="48"/>
              <w:rPr>
                <w:sz w:val="23"/>
                <w:szCs w:val="23"/>
              </w:rPr>
            </w:pPr>
            <w:r>
              <w:rPr>
                <w:sz w:val="23"/>
                <w:szCs w:val="23"/>
              </w:rPr>
              <w:t>（总分</w:t>
            </w:r>
            <w:r>
              <w:rPr>
                <w:spacing w:val="-6"/>
                <w:sz w:val="23"/>
                <w:szCs w:val="23"/>
              </w:rPr>
              <w:t>100</w:t>
            </w:r>
          </w:p>
          <w:p>
            <w:pPr>
              <w:pStyle w:val="28"/>
              <w:spacing w:before="2"/>
              <w:ind w:left="5"/>
              <w:rPr>
                <w:sz w:val="23"/>
                <w:szCs w:val="23"/>
              </w:rPr>
            </w:pPr>
            <w:r>
              <w:rPr>
                <w:sz w:val="23"/>
                <w:szCs w:val="23"/>
              </w:rPr>
              <w:t>.00分）</w:t>
            </w:r>
          </w:p>
        </w:tc>
        <w:tc>
          <w:tcPr>
            <w:tcW w:w="4351" w:type="pct"/>
            <w:gridSpan w:val="9"/>
          </w:tcPr>
          <w:p>
            <w:pPr>
              <w:pStyle w:val="28"/>
              <w:spacing w:before="75" w:line="240" w:lineRule="exact"/>
              <w:ind w:left="11"/>
              <w:rPr>
                <w:sz w:val="23"/>
                <w:szCs w:val="23"/>
              </w:rPr>
            </w:pPr>
            <w:r>
              <w:rPr>
                <w:sz w:val="23"/>
                <w:szCs w:val="23"/>
              </w:rPr>
              <w:t>第一个信封（商务及技术文件）评分分值构成:</w:t>
            </w:r>
          </w:p>
          <w:p>
            <w:pPr>
              <w:pStyle w:val="28"/>
              <w:spacing w:before="75" w:line="240" w:lineRule="exact"/>
              <w:ind w:left="11"/>
              <w:rPr>
                <w:sz w:val="23"/>
                <w:szCs w:val="23"/>
              </w:rPr>
            </w:pPr>
            <w:r>
              <w:rPr>
                <w:sz w:val="23"/>
                <w:szCs w:val="23"/>
              </w:rPr>
              <w:t>大纲:40.00分</w:t>
            </w:r>
          </w:p>
          <w:p>
            <w:pPr>
              <w:pStyle w:val="28"/>
              <w:spacing w:before="75" w:line="240" w:lineRule="exact"/>
              <w:ind w:left="11"/>
              <w:rPr>
                <w:sz w:val="23"/>
                <w:szCs w:val="23"/>
              </w:rPr>
            </w:pPr>
            <w:r>
              <w:rPr>
                <w:rFonts w:hint="eastAsia"/>
                <w:sz w:val="23"/>
                <w:szCs w:val="23"/>
              </w:rPr>
              <w:t>项目负责人</w:t>
            </w:r>
            <w:r>
              <w:rPr>
                <w:sz w:val="23"/>
                <w:szCs w:val="23"/>
              </w:rPr>
              <w:t>:25.00分</w:t>
            </w:r>
          </w:p>
          <w:p>
            <w:pPr>
              <w:pStyle w:val="28"/>
              <w:spacing w:before="75" w:line="240" w:lineRule="exact"/>
              <w:ind w:left="11"/>
              <w:rPr>
                <w:sz w:val="23"/>
                <w:szCs w:val="23"/>
              </w:rPr>
            </w:pPr>
            <w:r>
              <w:rPr>
                <w:rFonts w:hint="eastAsia"/>
                <w:sz w:val="23"/>
                <w:szCs w:val="23"/>
              </w:rPr>
              <w:t>企业</w:t>
            </w:r>
            <w:r>
              <w:rPr>
                <w:sz w:val="23"/>
                <w:szCs w:val="23"/>
              </w:rPr>
              <w:t>业绩:25.00分</w:t>
            </w:r>
          </w:p>
          <w:p>
            <w:pPr>
              <w:pStyle w:val="28"/>
              <w:spacing w:before="75" w:line="240" w:lineRule="exact"/>
              <w:ind w:left="11"/>
              <w:rPr>
                <w:sz w:val="23"/>
                <w:szCs w:val="23"/>
              </w:rPr>
            </w:pPr>
            <w:r>
              <w:rPr>
                <w:sz w:val="23"/>
                <w:szCs w:val="23"/>
              </w:rPr>
              <w:t>第二个信封（报价文件）评分分值构成： 评标价：</w:t>
            </w:r>
            <w:r>
              <w:rPr>
                <w:rFonts w:hint="eastAsia"/>
                <w:sz w:val="23"/>
                <w:szCs w:val="23"/>
                <w:lang w:val="en-US"/>
              </w:rPr>
              <w:t>1</w:t>
            </w:r>
            <w:r>
              <w:rPr>
                <w:sz w:val="23"/>
                <w:szCs w:val="23"/>
              </w:rPr>
              <w:t>0.00分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5000" w:type="pct"/>
            <w:gridSpan w:val="13"/>
          </w:tcPr>
          <w:p>
            <w:pPr>
              <w:pStyle w:val="28"/>
              <w:spacing w:before="6" w:line="290" w:lineRule="exact"/>
              <w:ind w:left="5"/>
              <w:rPr>
                <w:sz w:val="24"/>
              </w:rPr>
            </w:pPr>
            <w:r>
              <w:rPr>
                <w:sz w:val="24"/>
              </w:rPr>
              <w:t>大纲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274" w:type="pct"/>
          </w:tcPr>
          <w:p>
            <w:pPr>
              <w:pStyle w:val="28"/>
              <w:spacing w:before="167" w:line="242" w:lineRule="auto"/>
              <w:ind w:left="5" w:right="-15"/>
              <w:jc w:val="center"/>
              <w:rPr>
                <w:sz w:val="24"/>
              </w:rPr>
            </w:pPr>
            <w:r>
              <w:rPr>
                <w:sz w:val="24"/>
              </w:rPr>
              <w:t>序号</w:t>
            </w:r>
          </w:p>
        </w:tc>
        <w:tc>
          <w:tcPr>
            <w:tcW w:w="375" w:type="pct"/>
            <w:gridSpan w:val="3"/>
          </w:tcPr>
          <w:p>
            <w:pPr>
              <w:pStyle w:val="28"/>
              <w:ind w:left="10"/>
              <w:jc w:val="center"/>
              <w:rPr>
                <w:sz w:val="24"/>
              </w:rPr>
            </w:pPr>
            <w:r>
              <w:rPr>
                <w:sz w:val="24"/>
              </w:rPr>
              <w:t>评审因素</w:t>
            </w:r>
          </w:p>
        </w:tc>
        <w:tc>
          <w:tcPr>
            <w:tcW w:w="3529" w:type="pct"/>
            <w:gridSpan w:val="6"/>
          </w:tcPr>
          <w:p>
            <w:pPr>
              <w:pStyle w:val="28"/>
              <w:ind w:left="10"/>
              <w:jc w:val="center"/>
              <w:rPr>
                <w:sz w:val="24"/>
              </w:rPr>
            </w:pPr>
            <w:r>
              <w:rPr>
                <w:sz w:val="24"/>
              </w:rPr>
              <w:t>评审标准</w:t>
            </w:r>
          </w:p>
        </w:tc>
        <w:tc>
          <w:tcPr>
            <w:tcW w:w="377" w:type="pct"/>
          </w:tcPr>
          <w:p>
            <w:pPr>
              <w:pStyle w:val="28"/>
              <w:spacing w:before="9" w:line="310" w:lineRule="atLeast"/>
              <w:ind w:left="10" w:right="104"/>
              <w:jc w:val="center"/>
              <w:rPr>
                <w:sz w:val="24"/>
              </w:rPr>
            </w:pPr>
            <w:r>
              <w:rPr>
                <w:sz w:val="24"/>
              </w:rPr>
              <w:t>最大值</w:t>
            </w:r>
          </w:p>
        </w:tc>
        <w:tc>
          <w:tcPr>
            <w:tcW w:w="445" w:type="pct"/>
            <w:gridSpan w:val="2"/>
          </w:tcPr>
          <w:p>
            <w:pPr>
              <w:pStyle w:val="28"/>
              <w:spacing w:before="9" w:line="310" w:lineRule="atLeast"/>
              <w:ind w:left="10" w:right="104"/>
              <w:jc w:val="center"/>
              <w:rPr>
                <w:sz w:val="24"/>
              </w:rPr>
            </w:pPr>
            <w:r>
              <w:rPr>
                <w:sz w:val="24"/>
              </w:rPr>
              <w:t>最小值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274" w:type="pct"/>
          </w:tcPr>
          <w:p>
            <w:pPr>
              <w:pStyle w:val="28"/>
              <w:spacing w:before="167" w:line="242" w:lineRule="auto"/>
              <w:ind w:left="5" w:right="-15"/>
              <w:jc w:val="center"/>
              <w:rPr>
                <w:sz w:val="24"/>
              </w:rPr>
            </w:pPr>
            <w:r>
              <w:rPr>
                <w:rFonts w:hint="eastAsia"/>
                <w:sz w:val="24"/>
              </w:rPr>
              <w:t>1</w:t>
            </w:r>
          </w:p>
        </w:tc>
        <w:tc>
          <w:tcPr>
            <w:tcW w:w="375" w:type="pct"/>
            <w:gridSpan w:val="3"/>
          </w:tcPr>
          <w:p>
            <w:pPr>
              <w:pStyle w:val="28"/>
              <w:spacing w:before="2"/>
              <w:jc w:val="center"/>
              <w:rPr>
                <w:snapToGrid w:val="0"/>
                <w:szCs w:val="21"/>
              </w:rPr>
            </w:pPr>
            <w:r>
              <w:rPr>
                <w:rFonts w:hint="eastAsia"/>
                <w:snapToGrid w:val="0"/>
                <w:szCs w:val="21"/>
              </w:rPr>
              <w:t>服务</w:t>
            </w:r>
          </w:p>
          <w:p>
            <w:pPr>
              <w:pStyle w:val="28"/>
              <w:spacing w:before="2"/>
              <w:jc w:val="center"/>
              <w:rPr>
                <w:sz w:val="25"/>
              </w:rPr>
            </w:pPr>
            <w:r>
              <w:rPr>
                <w:rFonts w:hint="eastAsia"/>
                <w:snapToGrid w:val="0"/>
                <w:szCs w:val="21"/>
              </w:rPr>
              <w:t>方案</w:t>
            </w:r>
          </w:p>
        </w:tc>
        <w:tc>
          <w:tcPr>
            <w:tcW w:w="3529" w:type="pct"/>
            <w:gridSpan w:val="6"/>
            <w:vAlign w:val="center"/>
          </w:tcPr>
          <w:p>
            <w:pPr>
              <w:pStyle w:val="28"/>
              <w:spacing w:before="2"/>
              <w:rPr>
                <w:sz w:val="25"/>
              </w:rPr>
            </w:pPr>
            <w:r>
              <w:rPr>
                <w:rFonts w:hint="eastAsia"/>
                <w:szCs w:val="21"/>
              </w:rPr>
              <w:t>根据</w:t>
            </w:r>
            <w:r>
              <w:rPr>
                <w:rFonts w:hint="eastAsia"/>
                <w:snapToGrid w:val="0"/>
                <w:szCs w:val="21"/>
              </w:rPr>
              <w:t>工作的思路及内容、本项目的重点和难点分析及应对策措施进行</w:t>
            </w:r>
            <w:r>
              <w:rPr>
                <w:rFonts w:hint="eastAsia"/>
                <w:szCs w:val="21"/>
              </w:rPr>
              <w:t>等方面进行综合评价打分。低于60%说明理由。</w:t>
            </w:r>
          </w:p>
        </w:tc>
        <w:tc>
          <w:tcPr>
            <w:tcW w:w="377" w:type="pct"/>
            <w:vAlign w:val="center"/>
          </w:tcPr>
          <w:p>
            <w:pPr>
              <w:pStyle w:val="28"/>
              <w:spacing w:before="9" w:line="310" w:lineRule="atLeast"/>
              <w:ind w:left="10" w:right="104"/>
              <w:jc w:val="center"/>
              <w:rPr>
                <w:sz w:val="24"/>
                <w:lang w:val="en-US"/>
              </w:rPr>
            </w:pPr>
            <w:r>
              <w:rPr>
                <w:rFonts w:hint="eastAsia"/>
                <w:sz w:val="24"/>
                <w:lang w:val="en-US"/>
              </w:rPr>
              <w:t>20</w:t>
            </w:r>
          </w:p>
        </w:tc>
        <w:tc>
          <w:tcPr>
            <w:tcW w:w="445" w:type="pct"/>
            <w:gridSpan w:val="2"/>
            <w:vAlign w:val="center"/>
          </w:tcPr>
          <w:p>
            <w:pPr>
              <w:pStyle w:val="28"/>
              <w:spacing w:before="9" w:line="310" w:lineRule="atLeast"/>
              <w:ind w:left="10" w:right="104"/>
              <w:jc w:val="center"/>
              <w:rPr>
                <w:sz w:val="24"/>
                <w:lang w:val="en-US"/>
              </w:rPr>
            </w:pPr>
            <w:r>
              <w:rPr>
                <w:rFonts w:hint="eastAsia"/>
                <w:sz w:val="24"/>
                <w:lang w:val="en-US"/>
              </w:rPr>
              <w:t>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274" w:type="pct"/>
          </w:tcPr>
          <w:p>
            <w:pPr>
              <w:pStyle w:val="28"/>
              <w:spacing w:before="167" w:line="242" w:lineRule="auto"/>
              <w:ind w:left="5" w:right="-15"/>
              <w:jc w:val="center"/>
              <w:rPr>
                <w:sz w:val="24"/>
              </w:rPr>
            </w:pPr>
            <w:r>
              <w:rPr>
                <w:rFonts w:hint="eastAsia"/>
                <w:sz w:val="24"/>
              </w:rPr>
              <w:t>2</w:t>
            </w:r>
          </w:p>
        </w:tc>
        <w:tc>
          <w:tcPr>
            <w:tcW w:w="375" w:type="pct"/>
            <w:gridSpan w:val="3"/>
          </w:tcPr>
          <w:p>
            <w:pPr>
              <w:pStyle w:val="28"/>
              <w:spacing w:before="2"/>
              <w:jc w:val="center"/>
              <w:rPr>
                <w:snapToGrid w:val="0"/>
                <w:szCs w:val="21"/>
              </w:rPr>
            </w:pPr>
            <w:r>
              <w:rPr>
                <w:rFonts w:hint="eastAsia"/>
                <w:snapToGrid w:val="0"/>
                <w:szCs w:val="21"/>
              </w:rPr>
              <w:t>服务及时性</w:t>
            </w:r>
          </w:p>
          <w:p>
            <w:pPr>
              <w:pStyle w:val="28"/>
              <w:spacing w:before="2"/>
              <w:jc w:val="center"/>
              <w:rPr>
                <w:snapToGrid w:val="0"/>
                <w:szCs w:val="21"/>
              </w:rPr>
            </w:pPr>
            <w:r>
              <w:rPr>
                <w:rFonts w:hint="eastAsia"/>
                <w:snapToGrid w:val="0"/>
                <w:szCs w:val="21"/>
              </w:rPr>
              <w:t>保障</w:t>
            </w:r>
          </w:p>
        </w:tc>
        <w:tc>
          <w:tcPr>
            <w:tcW w:w="3529" w:type="pct"/>
            <w:gridSpan w:val="6"/>
            <w:vAlign w:val="center"/>
          </w:tcPr>
          <w:p>
            <w:pPr>
              <w:pStyle w:val="28"/>
              <w:spacing w:before="2"/>
              <w:rPr>
                <w:szCs w:val="21"/>
              </w:rPr>
            </w:pPr>
            <w:r>
              <w:rPr>
                <w:rFonts w:hint="eastAsia"/>
                <w:snapToGrid w:val="0"/>
                <w:szCs w:val="21"/>
              </w:rPr>
              <w:t>根据服务承诺、服务保障等方面进行综合打分。</w:t>
            </w:r>
            <w:r>
              <w:rPr>
                <w:rFonts w:hint="eastAsia"/>
                <w:szCs w:val="21"/>
              </w:rPr>
              <w:t>低于60%说明理由。</w:t>
            </w:r>
          </w:p>
        </w:tc>
        <w:tc>
          <w:tcPr>
            <w:tcW w:w="377" w:type="pct"/>
            <w:vAlign w:val="center"/>
          </w:tcPr>
          <w:p>
            <w:pPr>
              <w:pStyle w:val="28"/>
              <w:spacing w:before="9" w:line="310" w:lineRule="atLeast"/>
              <w:ind w:left="10" w:right="104"/>
              <w:jc w:val="center"/>
              <w:rPr>
                <w:sz w:val="24"/>
              </w:rPr>
            </w:pPr>
            <w:r>
              <w:rPr>
                <w:rFonts w:hint="eastAsia"/>
                <w:sz w:val="24"/>
              </w:rPr>
              <w:t>1</w:t>
            </w:r>
            <w:r>
              <w:rPr>
                <w:sz w:val="24"/>
              </w:rPr>
              <w:t>0</w:t>
            </w:r>
          </w:p>
        </w:tc>
        <w:tc>
          <w:tcPr>
            <w:tcW w:w="445" w:type="pct"/>
            <w:gridSpan w:val="2"/>
            <w:vAlign w:val="center"/>
          </w:tcPr>
          <w:p>
            <w:pPr>
              <w:pStyle w:val="28"/>
              <w:spacing w:before="9" w:line="310" w:lineRule="atLeast"/>
              <w:ind w:left="10" w:right="104"/>
              <w:jc w:val="center"/>
              <w:rPr>
                <w:sz w:val="24"/>
                <w:lang w:val="en-US"/>
              </w:rPr>
            </w:pPr>
            <w:r>
              <w:rPr>
                <w:rFonts w:hint="eastAsia"/>
                <w:sz w:val="24"/>
                <w:lang w:val="en-US"/>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274" w:type="pct"/>
          </w:tcPr>
          <w:p>
            <w:pPr>
              <w:pStyle w:val="28"/>
              <w:spacing w:before="167" w:line="242" w:lineRule="auto"/>
              <w:ind w:left="5" w:right="-15"/>
              <w:jc w:val="center"/>
              <w:rPr>
                <w:sz w:val="24"/>
              </w:rPr>
            </w:pPr>
            <w:r>
              <w:rPr>
                <w:sz w:val="24"/>
              </w:rPr>
              <w:t>3</w:t>
            </w:r>
          </w:p>
        </w:tc>
        <w:tc>
          <w:tcPr>
            <w:tcW w:w="375" w:type="pct"/>
            <w:gridSpan w:val="3"/>
          </w:tcPr>
          <w:p>
            <w:pPr>
              <w:pStyle w:val="28"/>
              <w:spacing w:before="2"/>
              <w:jc w:val="center"/>
              <w:rPr>
                <w:snapToGrid w:val="0"/>
                <w:szCs w:val="21"/>
              </w:rPr>
            </w:pPr>
            <w:r>
              <w:rPr>
                <w:rFonts w:hint="eastAsia"/>
                <w:snapToGrid w:val="0"/>
                <w:szCs w:val="21"/>
              </w:rPr>
              <w:t>质量</w:t>
            </w:r>
          </w:p>
          <w:p>
            <w:pPr>
              <w:pStyle w:val="28"/>
              <w:spacing w:before="2"/>
              <w:jc w:val="center"/>
              <w:rPr>
                <w:sz w:val="25"/>
              </w:rPr>
            </w:pPr>
            <w:r>
              <w:rPr>
                <w:rFonts w:hint="eastAsia"/>
                <w:snapToGrid w:val="0"/>
                <w:szCs w:val="21"/>
              </w:rPr>
              <w:t>保证</w:t>
            </w:r>
          </w:p>
        </w:tc>
        <w:tc>
          <w:tcPr>
            <w:tcW w:w="3529" w:type="pct"/>
            <w:gridSpan w:val="6"/>
            <w:vAlign w:val="center"/>
          </w:tcPr>
          <w:p>
            <w:pPr>
              <w:pStyle w:val="28"/>
              <w:spacing w:before="2"/>
              <w:rPr>
                <w:sz w:val="25"/>
              </w:rPr>
            </w:pPr>
            <w:r>
              <w:rPr>
                <w:rFonts w:hint="eastAsia"/>
                <w:snapToGrid w:val="0"/>
                <w:szCs w:val="21"/>
              </w:rPr>
              <w:t>根据工作服务的目标及质量保证措施等方面进行综合打分。</w:t>
            </w:r>
            <w:r>
              <w:rPr>
                <w:rFonts w:hint="eastAsia"/>
                <w:szCs w:val="21"/>
              </w:rPr>
              <w:t>低于60%说明理由。</w:t>
            </w:r>
          </w:p>
        </w:tc>
        <w:tc>
          <w:tcPr>
            <w:tcW w:w="377" w:type="pct"/>
            <w:vAlign w:val="center"/>
          </w:tcPr>
          <w:p>
            <w:pPr>
              <w:pStyle w:val="28"/>
              <w:spacing w:before="9" w:line="310" w:lineRule="atLeast"/>
              <w:ind w:left="10" w:right="104"/>
              <w:jc w:val="center"/>
              <w:rPr>
                <w:sz w:val="24"/>
              </w:rPr>
            </w:pPr>
            <w:r>
              <w:rPr>
                <w:sz w:val="24"/>
              </w:rPr>
              <w:t>10</w:t>
            </w:r>
          </w:p>
        </w:tc>
        <w:tc>
          <w:tcPr>
            <w:tcW w:w="445" w:type="pct"/>
            <w:gridSpan w:val="2"/>
            <w:vAlign w:val="center"/>
          </w:tcPr>
          <w:p>
            <w:pPr>
              <w:pStyle w:val="28"/>
              <w:spacing w:before="9" w:line="310" w:lineRule="atLeast"/>
              <w:ind w:left="10" w:right="104"/>
              <w:jc w:val="center"/>
              <w:rPr>
                <w:sz w:val="24"/>
                <w:lang w:val="en-US"/>
              </w:rPr>
            </w:pPr>
            <w:r>
              <w:rPr>
                <w:sz w:val="24"/>
                <w:lang w:val="en-US"/>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5000" w:type="pct"/>
            <w:gridSpan w:val="13"/>
          </w:tcPr>
          <w:p>
            <w:pPr>
              <w:pStyle w:val="28"/>
              <w:spacing w:before="9" w:line="310" w:lineRule="atLeast"/>
              <w:ind w:left="10" w:right="104"/>
              <w:rPr>
                <w:sz w:val="24"/>
                <w:lang w:val="en-US"/>
              </w:rPr>
            </w:pPr>
            <w:r>
              <w:rPr>
                <w:rFonts w:hint="eastAsia"/>
                <w:sz w:val="23"/>
                <w:szCs w:val="23"/>
              </w:rPr>
              <w:t>项目负责人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3" w:hRule="atLeast"/>
        </w:trPr>
        <w:tc>
          <w:tcPr>
            <w:tcW w:w="280" w:type="pct"/>
            <w:gridSpan w:val="2"/>
          </w:tcPr>
          <w:p>
            <w:pPr>
              <w:pStyle w:val="28"/>
              <w:spacing w:before="167" w:line="242" w:lineRule="auto"/>
              <w:ind w:left="5" w:right="-44"/>
              <w:rPr>
                <w:sz w:val="23"/>
                <w:szCs w:val="23"/>
              </w:rPr>
            </w:pPr>
            <w:r>
              <w:rPr>
                <w:spacing w:val="-34"/>
                <w:sz w:val="23"/>
                <w:szCs w:val="23"/>
              </w:rPr>
              <w:t>序号</w:t>
            </w:r>
          </w:p>
        </w:tc>
        <w:tc>
          <w:tcPr>
            <w:tcW w:w="370" w:type="pct"/>
            <w:gridSpan w:val="2"/>
          </w:tcPr>
          <w:p>
            <w:pPr>
              <w:pStyle w:val="28"/>
              <w:spacing w:before="167" w:line="242" w:lineRule="auto"/>
              <w:ind w:left="10" w:right="110"/>
              <w:rPr>
                <w:sz w:val="23"/>
                <w:szCs w:val="23"/>
              </w:rPr>
            </w:pPr>
            <w:r>
              <w:rPr>
                <w:sz w:val="23"/>
                <w:szCs w:val="23"/>
              </w:rPr>
              <w:t>评审因素</w:t>
            </w:r>
          </w:p>
        </w:tc>
        <w:tc>
          <w:tcPr>
            <w:tcW w:w="3529" w:type="pct"/>
            <w:gridSpan w:val="6"/>
          </w:tcPr>
          <w:p>
            <w:pPr>
              <w:pStyle w:val="28"/>
              <w:ind w:left="10"/>
              <w:rPr>
                <w:sz w:val="23"/>
                <w:szCs w:val="23"/>
              </w:rPr>
            </w:pPr>
            <w:r>
              <w:rPr>
                <w:sz w:val="23"/>
                <w:szCs w:val="23"/>
              </w:rPr>
              <w:t>评审标准</w:t>
            </w:r>
          </w:p>
        </w:tc>
        <w:tc>
          <w:tcPr>
            <w:tcW w:w="377" w:type="pct"/>
          </w:tcPr>
          <w:p>
            <w:pPr>
              <w:pStyle w:val="28"/>
              <w:spacing w:before="9" w:line="310" w:lineRule="atLeast"/>
              <w:ind w:left="10" w:right="27"/>
              <w:jc w:val="both"/>
              <w:rPr>
                <w:sz w:val="23"/>
                <w:szCs w:val="23"/>
              </w:rPr>
            </w:pPr>
            <w:r>
              <w:rPr>
                <w:sz w:val="24"/>
              </w:rPr>
              <w:t>最大值</w:t>
            </w:r>
          </w:p>
        </w:tc>
        <w:tc>
          <w:tcPr>
            <w:tcW w:w="445" w:type="pct"/>
            <w:gridSpan w:val="2"/>
          </w:tcPr>
          <w:p>
            <w:pPr>
              <w:pStyle w:val="28"/>
              <w:spacing w:before="9" w:line="310" w:lineRule="atLeast"/>
              <w:ind w:left="10" w:right="26"/>
              <w:jc w:val="both"/>
              <w:rPr>
                <w:sz w:val="23"/>
                <w:szCs w:val="23"/>
              </w:rPr>
            </w:pPr>
            <w:r>
              <w:rPr>
                <w:sz w:val="23"/>
                <w:szCs w:val="23"/>
              </w:rPr>
              <w:t>最小值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10" w:hRule="atLeast"/>
        </w:trPr>
        <w:tc>
          <w:tcPr>
            <w:tcW w:w="280" w:type="pct"/>
            <w:gridSpan w:val="2"/>
            <w:vAlign w:val="center"/>
          </w:tcPr>
          <w:p>
            <w:pPr>
              <w:pStyle w:val="28"/>
              <w:spacing w:line="287" w:lineRule="exact"/>
              <w:ind w:left="5"/>
              <w:jc w:val="center"/>
              <w:rPr>
                <w:rFonts w:ascii="Times New Roman"/>
                <w:sz w:val="23"/>
                <w:szCs w:val="23"/>
              </w:rPr>
            </w:pPr>
            <w:r>
              <w:rPr>
                <w:sz w:val="23"/>
                <w:szCs w:val="23"/>
              </w:rPr>
              <w:t>1</w:t>
            </w:r>
          </w:p>
        </w:tc>
        <w:tc>
          <w:tcPr>
            <w:tcW w:w="370" w:type="pct"/>
            <w:gridSpan w:val="2"/>
            <w:vAlign w:val="center"/>
          </w:tcPr>
          <w:p>
            <w:pPr>
              <w:pStyle w:val="28"/>
              <w:spacing w:before="23"/>
              <w:ind w:left="10"/>
              <w:jc w:val="both"/>
              <w:rPr>
                <w:rFonts w:ascii="Times New Roman"/>
                <w:sz w:val="23"/>
                <w:szCs w:val="23"/>
              </w:rPr>
            </w:pPr>
            <w:r>
              <w:rPr>
                <w:sz w:val="23"/>
                <w:szCs w:val="23"/>
              </w:rPr>
              <w:t>拟投入的项目负责人</w:t>
            </w:r>
          </w:p>
        </w:tc>
        <w:tc>
          <w:tcPr>
            <w:tcW w:w="3529" w:type="pct"/>
            <w:gridSpan w:val="6"/>
            <w:vAlign w:val="center"/>
          </w:tcPr>
          <w:p>
            <w:pPr>
              <w:pStyle w:val="28"/>
              <w:spacing w:before="2"/>
              <w:rPr>
                <w:snapToGrid w:val="0"/>
                <w:szCs w:val="21"/>
              </w:rPr>
            </w:pPr>
            <w:r>
              <w:rPr>
                <w:rFonts w:hint="eastAsia"/>
                <w:snapToGrid w:val="0"/>
                <w:szCs w:val="21"/>
              </w:rPr>
              <w:t>（</w:t>
            </w:r>
            <w:r>
              <w:rPr>
                <w:snapToGrid w:val="0"/>
                <w:szCs w:val="21"/>
              </w:rPr>
              <w:t>1）项目负责人满足资格</w:t>
            </w:r>
            <w:r>
              <w:rPr>
                <w:rFonts w:hint="eastAsia"/>
                <w:snapToGrid w:val="0"/>
                <w:szCs w:val="21"/>
              </w:rPr>
              <w:t>业绩</w:t>
            </w:r>
            <w:r>
              <w:rPr>
                <w:snapToGrid w:val="0"/>
                <w:szCs w:val="21"/>
              </w:rPr>
              <w:t>条件的得基本分15分；</w:t>
            </w:r>
          </w:p>
          <w:p>
            <w:pPr>
              <w:pStyle w:val="28"/>
              <w:spacing w:before="2"/>
              <w:rPr>
                <w:snapToGrid w:val="0"/>
                <w:szCs w:val="21"/>
              </w:rPr>
            </w:pPr>
            <w:r>
              <w:rPr>
                <w:rFonts w:hint="eastAsia"/>
                <w:snapToGrid w:val="0"/>
                <w:szCs w:val="21"/>
              </w:rPr>
              <w:t>（</w:t>
            </w:r>
            <w:r>
              <w:rPr>
                <w:snapToGrid w:val="0"/>
                <w:szCs w:val="21"/>
              </w:rPr>
              <w:t>2）</w:t>
            </w:r>
            <w:r>
              <w:rPr>
                <w:rFonts w:hint="eastAsia"/>
                <w:snapToGrid w:val="0"/>
                <w:szCs w:val="21"/>
              </w:rPr>
              <w:t>项目负责人具备测绘专业高级职称、注册测绘师、质检员证书的，每有一个加</w:t>
            </w:r>
            <w:r>
              <w:rPr>
                <w:snapToGrid w:val="0"/>
                <w:szCs w:val="21"/>
              </w:rPr>
              <w:t>1分，最多加3分；</w:t>
            </w:r>
          </w:p>
          <w:p>
            <w:pPr>
              <w:pStyle w:val="28"/>
              <w:spacing w:before="2"/>
              <w:rPr>
                <w:snapToGrid w:val="0"/>
                <w:szCs w:val="21"/>
              </w:rPr>
            </w:pPr>
            <w:r>
              <w:rPr>
                <w:rFonts w:hint="eastAsia"/>
                <w:snapToGrid w:val="0"/>
                <w:szCs w:val="21"/>
              </w:rPr>
              <w:t>（</w:t>
            </w:r>
            <w:r>
              <w:rPr>
                <w:snapToGrid w:val="0"/>
                <w:szCs w:val="21"/>
              </w:rPr>
              <w:t>3）</w:t>
            </w:r>
            <w:r>
              <w:rPr>
                <w:rFonts w:hint="eastAsia"/>
                <w:snapToGrid w:val="0"/>
                <w:szCs w:val="21"/>
              </w:rPr>
              <w:t>项目负责人每增加一个码头、闸站等变形监测（或沉降观测）业绩</w:t>
            </w:r>
            <w:r>
              <w:rPr>
                <w:snapToGrid w:val="0"/>
                <w:szCs w:val="21"/>
              </w:rPr>
              <w:t>加2分，最多加7分；</w:t>
            </w:r>
          </w:p>
          <w:p>
            <w:pPr>
              <w:pStyle w:val="28"/>
              <w:spacing w:before="2"/>
              <w:rPr>
                <w:snapToGrid w:val="0"/>
                <w:sz w:val="23"/>
                <w:szCs w:val="23"/>
                <w:lang w:val="en-GB"/>
              </w:rPr>
            </w:pPr>
            <w:r>
              <w:rPr>
                <w:rFonts w:hint="eastAsia"/>
                <w:snapToGrid w:val="0"/>
                <w:szCs w:val="21"/>
              </w:rPr>
              <w:t>本项满分</w:t>
            </w:r>
            <w:r>
              <w:rPr>
                <w:snapToGrid w:val="0"/>
                <w:szCs w:val="21"/>
              </w:rPr>
              <w:t>25分；</w:t>
            </w:r>
          </w:p>
        </w:tc>
        <w:tc>
          <w:tcPr>
            <w:tcW w:w="377" w:type="pct"/>
            <w:vAlign w:val="center"/>
          </w:tcPr>
          <w:p>
            <w:pPr>
              <w:pStyle w:val="28"/>
              <w:spacing w:line="283" w:lineRule="exact"/>
              <w:ind w:right="137"/>
              <w:jc w:val="center"/>
              <w:rPr>
                <w:rFonts w:ascii="Times New Roman"/>
                <w:sz w:val="23"/>
                <w:szCs w:val="23"/>
                <w:lang w:val="en-US"/>
              </w:rPr>
            </w:pPr>
            <w:r>
              <w:rPr>
                <w:sz w:val="23"/>
                <w:szCs w:val="23"/>
                <w:lang w:val="en-US"/>
              </w:rPr>
              <w:t>25</w:t>
            </w:r>
          </w:p>
        </w:tc>
        <w:tc>
          <w:tcPr>
            <w:tcW w:w="445" w:type="pct"/>
            <w:gridSpan w:val="2"/>
            <w:vAlign w:val="center"/>
          </w:tcPr>
          <w:p>
            <w:pPr>
              <w:pStyle w:val="28"/>
              <w:ind w:left="10"/>
              <w:jc w:val="center"/>
              <w:rPr>
                <w:sz w:val="23"/>
                <w:szCs w:val="23"/>
              </w:rPr>
            </w:pPr>
            <w:r>
              <w:rPr>
                <w:sz w:val="23"/>
                <w:szCs w:val="23"/>
                <w:lang w:val="en-US"/>
              </w:rPr>
              <w:t>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trPr>
        <w:tc>
          <w:tcPr>
            <w:tcW w:w="5000" w:type="pct"/>
            <w:gridSpan w:val="13"/>
            <w:vAlign w:val="center"/>
          </w:tcPr>
          <w:p>
            <w:pPr>
              <w:pStyle w:val="28"/>
              <w:ind w:left="10"/>
              <w:jc w:val="both"/>
              <w:rPr>
                <w:sz w:val="23"/>
                <w:szCs w:val="23"/>
                <w:lang w:val="en-US"/>
              </w:rPr>
            </w:pPr>
            <w:r>
              <w:rPr>
                <w:rFonts w:hint="eastAsia"/>
                <w:sz w:val="23"/>
                <w:szCs w:val="23"/>
              </w:rPr>
              <w:t>企业</w:t>
            </w:r>
            <w:r>
              <w:rPr>
                <w:sz w:val="23"/>
                <w:szCs w:val="23"/>
              </w:rPr>
              <w:t>业绩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trPr>
        <w:tc>
          <w:tcPr>
            <w:tcW w:w="280" w:type="pct"/>
            <w:gridSpan w:val="2"/>
          </w:tcPr>
          <w:p>
            <w:pPr>
              <w:pStyle w:val="28"/>
              <w:spacing w:line="287" w:lineRule="exact"/>
              <w:ind w:left="5"/>
              <w:jc w:val="center"/>
              <w:rPr>
                <w:sz w:val="23"/>
                <w:szCs w:val="23"/>
              </w:rPr>
            </w:pPr>
            <w:r>
              <w:rPr>
                <w:spacing w:val="-34"/>
                <w:sz w:val="23"/>
                <w:szCs w:val="23"/>
              </w:rPr>
              <w:t>序号</w:t>
            </w:r>
          </w:p>
        </w:tc>
        <w:tc>
          <w:tcPr>
            <w:tcW w:w="370" w:type="pct"/>
            <w:gridSpan w:val="2"/>
          </w:tcPr>
          <w:p>
            <w:pPr>
              <w:pStyle w:val="28"/>
              <w:spacing w:before="23"/>
              <w:ind w:left="10"/>
              <w:jc w:val="both"/>
              <w:rPr>
                <w:sz w:val="23"/>
                <w:szCs w:val="23"/>
                <w:lang w:val="en-US"/>
              </w:rPr>
            </w:pPr>
            <w:r>
              <w:rPr>
                <w:rFonts w:hint="eastAsia"/>
                <w:sz w:val="23"/>
                <w:szCs w:val="23"/>
                <w:lang w:val="en-US"/>
              </w:rPr>
              <w:t>评审</w:t>
            </w:r>
          </w:p>
          <w:p>
            <w:pPr>
              <w:pStyle w:val="28"/>
              <w:spacing w:before="23"/>
              <w:ind w:left="10"/>
              <w:jc w:val="both"/>
              <w:rPr>
                <w:sz w:val="23"/>
                <w:szCs w:val="23"/>
                <w:lang w:val="en-US"/>
              </w:rPr>
            </w:pPr>
            <w:r>
              <w:rPr>
                <w:rFonts w:hint="eastAsia"/>
                <w:sz w:val="23"/>
                <w:szCs w:val="23"/>
                <w:lang w:val="en-US"/>
              </w:rPr>
              <w:t>因素</w:t>
            </w:r>
          </w:p>
        </w:tc>
        <w:tc>
          <w:tcPr>
            <w:tcW w:w="3529" w:type="pct"/>
            <w:gridSpan w:val="6"/>
          </w:tcPr>
          <w:p>
            <w:pPr>
              <w:pStyle w:val="28"/>
              <w:spacing w:before="23" w:line="291" w:lineRule="exact"/>
              <w:ind w:left="10"/>
              <w:jc w:val="both"/>
              <w:rPr>
                <w:snapToGrid w:val="0"/>
                <w:sz w:val="23"/>
                <w:szCs w:val="23"/>
                <w:lang w:val="en-GB"/>
              </w:rPr>
            </w:pPr>
            <w:r>
              <w:rPr>
                <w:sz w:val="23"/>
                <w:szCs w:val="23"/>
              </w:rPr>
              <w:t>评审标准</w:t>
            </w:r>
          </w:p>
        </w:tc>
        <w:tc>
          <w:tcPr>
            <w:tcW w:w="377" w:type="pct"/>
          </w:tcPr>
          <w:p>
            <w:pPr>
              <w:pStyle w:val="28"/>
              <w:spacing w:line="283" w:lineRule="exact"/>
              <w:ind w:right="137"/>
              <w:jc w:val="both"/>
              <w:rPr>
                <w:sz w:val="23"/>
                <w:szCs w:val="23"/>
                <w:lang w:val="en-US"/>
              </w:rPr>
            </w:pPr>
            <w:r>
              <w:rPr>
                <w:sz w:val="24"/>
              </w:rPr>
              <w:t>最大值</w:t>
            </w:r>
          </w:p>
        </w:tc>
        <w:tc>
          <w:tcPr>
            <w:tcW w:w="445" w:type="pct"/>
            <w:gridSpan w:val="2"/>
          </w:tcPr>
          <w:p>
            <w:pPr>
              <w:pStyle w:val="28"/>
              <w:ind w:left="10"/>
              <w:jc w:val="both"/>
              <w:rPr>
                <w:sz w:val="23"/>
                <w:szCs w:val="23"/>
                <w:lang w:val="en-US"/>
              </w:rPr>
            </w:pPr>
            <w:r>
              <w:rPr>
                <w:sz w:val="23"/>
                <w:szCs w:val="23"/>
              </w:rPr>
              <w:t>最小值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36" w:hRule="atLeast"/>
        </w:trPr>
        <w:tc>
          <w:tcPr>
            <w:tcW w:w="280" w:type="pct"/>
            <w:gridSpan w:val="2"/>
          </w:tcPr>
          <w:p>
            <w:pPr>
              <w:pStyle w:val="28"/>
              <w:spacing w:before="23" w:line="291" w:lineRule="exact"/>
              <w:ind w:left="10"/>
              <w:jc w:val="both"/>
              <w:rPr>
                <w:sz w:val="23"/>
                <w:szCs w:val="23"/>
              </w:rPr>
            </w:pPr>
            <w:r>
              <w:rPr>
                <w:sz w:val="23"/>
                <w:szCs w:val="23"/>
              </w:rPr>
              <w:t>1</w:t>
            </w:r>
          </w:p>
        </w:tc>
        <w:tc>
          <w:tcPr>
            <w:tcW w:w="370" w:type="pct"/>
            <w:gridSpan w:val="2"/>
            <w:tcBorders>
              <w:right w:val="single" w:color="auto" w:sz="4" w:space="0"/>
            </w:tcBorders>
          </w:tcPr>
          <w:p>
            <w:pPr>
              <w:pStyle w:val="28"/>
              <w:spacing w:before="23" w:line="291" w:lineRule="exact"/>
              <w:ind w:left="10"/>
              <w:jc w:val="both"/>
              <w:rPr>
                <w:sz w:val="23"/>
                <w:szCs w:val="23"/>
              </w:rPr>
            </w:pPr>
            <w:r>
              <w:rPr>
                <w:sz w:val="23"/>
                <w:szCs w:val="23"/>
              </w:rPr>
              <w:t>业绩</w:t>
            </w:r>
          </w:p>
        </w:tc>
        <w:tc>
          <w:tcPr>
            <w:tcW w:w="3529" w:type="pct"/>
            <w:gridSpan w:val="6"/>
            <w:tcBorders>
              <w:left w:val="single" w:color="auto" w:sz="4" w:space="0"/>
            </w:tcBorders>
          </w:tcPr>
          <w:p>
            <w:pPr>
              <w:spacing w:before="23" w:line="291" w:lineRule="exact"/>
              <w:jc w:val="both"/>
              <w:rPr>
                <w:sz w:val="23"/>
                <w:szCs w:val="23"/>
              </w:rPr>
            </w:pPr>
            <w:r>
              <w:rPr>
                <w:rFonts w:hint="eastAsia"/>
                <w:sz w:val="23"/>
                <w:szCs w:val="23"/>
              </w:rPr>
              <w:t>（</w:t>
            </w:r>
            <w:r>
              <w:rPr>
                <w:sz w:val="23"/>
                <w:szCs w:val="23"/>
              </w:rPr>
              <w:t>1）满足资格条件审查的得基本分15分；</w:t>
            </w:r>
          </w:p>
          <w:p>
            <w:pPr>
              <w:spacing w:before="23" w:line="291" w:lineRule="exact"/>
              <w:jc w:val="both"/>
              <w:rPr>
                <w:sz w:val="23"/>
                <w:szCs w:val="23"/>
              </w:rPr>
            </w:pPr>
            <w:r>
              <w:rPr>
                <w:rFonts w:hint="eastAsia"/>
                <w:sz w:val="23"/>
                <w:szCs w:val="23"/>
              </w:rPr>
              <w:t>（</w:t>
            </w:r>
            <w:r>
              <w:rPr>
                <w:sz w:val="23"/>
                <w:szCs w:val="23"/>
              </w:rPr>
              <w:t>2）在此基础上，投标人每增加1个</w:t>
            </w:r>
            <w:r>
              <w:rPr>
                <w:rFonts w:hint="eastAsia"/>
                <w:sz w:val="23"/>
                <w:szCs w:val="23"/>
              </w:rPr>
              <w:t>码头、闸站等变形监测</w:t>
            </w:r>
            <w:r>
              <w:rPr>
                <w:rFonts w:hint="eastAsia"/>
                <w:snapToGrid w:val="0"/>
                <w:szCs w:val="21"/>
              </w:rPr>
              <w:t>（或沉降观测）</w:t>
            </w:r>
            <w:r>
              <w:rPr>
                <w:rFonts w:hint="eastAsia"/>
                <w:sz w:val="23"/>
                <w:szCs w:val="23"/>
              </w:rPr>
              <w:t>业绩，</w:t>
            </w:r>
            <w:r>
              <w:rPr>
                <w:sz w:val="23"/>
                <w:szCs w:val="23"/>
              </w:rPr>
              <w:t>加2分，最多加10分；</w:t>
            </w:r>
          </w:p>
          <w:p>
            <w:pPr>
              <w:pStyle w:val="28"/>
              <w:spacing w:before="23" w:line="291" w:lineRule="exact"/>
              <w:ind w:left="10"/>
              <w:jc w:val="both"/>
              <w:rPr>
                <w:sz w:val="23"/>
                <w:szCs w:val="23"/>
              </w:rPr>
            </w:pPr>
            <w:r>
              <w:rPr>
                <w:rFonts w:hint="eastAsia"/>
                <w:sz w:val="23"/>
                <w:szCs w:val="23"/>
              </w:rPr>
              <w:t>本项满分</w:t>
            </w:r>
            <w:r>
              <w:rPr>
                <w:sz w:val="23"/>
                <w:szCs w:val="23"/>
              </w:rPr>
              <w:t>25分；</w:t>
            </w:r>
          </w:p>
        </w:tc>
        <w:tc>
          <w:tcPr>
            <w:tcW w:w="377" w:type="pct"/>
            <w:vAlign w:val="center"/>
          </w:tcPr>
          <w:p>
            <w:pPr>
              <w:pStyle w:val="28"/>
              <w:spacing w:before="23" w:line="291" w:lineRule="exact"/>
              <w:ind w:left="10"/>
              <w:jc w:val="center"/>
              <w:rPr>
                <w:sz w:val="23"/>
                <w:szCs w:val="23"/>
              </w:rPr>
            </w:pPr>
            <w:r>
              <w:rPr>
                <w:sz w:val="23"/>
                <w:szCs w:val="23"/>
              </w:rPr>
              <w:t>25</w:t>
            </w:r>
          </w:p>
        </w:tc>
        <w:tc>
          <w:tcPr>
            <w:tcW w:w="445" w:type="pct"/>
            <w:gridSpan w:val="2"/>
            <w:vAlign w:val="center"/>
          </w:tcPr>
          <w:p>
            <w:pPr>
              <w:pStyle w:val="28"/>
              <w:spacing w:before="23" w:line="291" w:lineRule="exact"/>
              <w:ind w:left="10"/>
              <w:jc w:val="center"/>
              <w:rPr>
                <w:sz w:val="23"/>
                <w:szCs w:val="23"/>
              </w:rPr>
            </w:pPr>
            <w:r>
              <w:rPr>
                <w:rFonts w:hint="eastAsia"/>
                <w:sz w:val="23"/>
                <w:szCs w:val="23"/>
              </w:rPr>
              <w:t>1</w:t>
            </w:r>
            <w:r>
              <w:rPr>
                <w:sz w:val="23"/>
                <w:szCs w:val="23"/>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8" w:hRule="atLeast"/>
        </w:trPr>
        <w:tc>
          <w:tcPr>
            <w:tcW w:w="5000" w:type="pct"/>
            <w:gridSpan w:val="13"/>
          </w:tcPr>
          <w:p>
            <w:pPr>
              <w:pStyle w:val="28"/>
              <w:spacing w:before="6" w:line="290" w:lineRule="exact"/>
              <w:ind w:left="5"/>
              <w:rPr>
                <w:sz w:val="23"/>
                <w:szCs w:val="23"/>
              </w:rPr>
            </w:pPr>
            <w:r>
              <w:rPr>
                <w:rFonts w:hint="eastAsia"/>
                <w:sz w:val="23"/>
                <w:szCs w:val="23"/>
              </w:rPr>
              <w:t>第二信封</w:t>
            </w:r>
            <w:r>
              <w:rPr>
                <w:sz w:val="23"/>
                <w:szCs w:val="23"/>
              </w:rPr>
              <w:t>形式评审与响应性评审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3" w:hRule="atLeast"/>
        </w:trPr>
        <w:tc>
          <w:tcPr>
            <w:tcW w:w="415" w:type="pct"/>
            <w:gridSpan w:val="3"/>
            <w:vAlign w:val="center"/>
          </w:tcPr>
          <w:p>
            <w:pPr>
              <w:pStyle w:val="28"/>
              <w:spacing w:before="9" w:line="310" w:lineRule="atLeast"/>
              <w:ind w:left="5" w:right="71"/>
              <w:jc w:val="center"/>
              <w:rPr>
                <w:sz w:val="23"/>
                <w:szCs w:val="23"/>
              </w:rPr>
            </w:pPr>
            <w:r>
              <w:rPr>
                <w:sz w:val="23"/>
                <w:szCs w:val="23"/>
              </w:rPr>
              <w:t>序号</w:t>
            </w:r>
          </w:p>
        </w:tc>
        <w:tc>
          <w:tcPr>
            <w:tcW w:w="959" w:type="pct"/>
            <w:gridSpan w:val="3"/>
            <w:vAlign w:val="center"/>
          </w:tcPr>
          <w:p>
            <w:pPr>
              <w:pStyle w:val="28"/>
              <w:spacing w:before="9" w:line="310" w:lineRule="atLeast"/>
              <w:ind w:left="5" w:right="71"/>
              <w:jc w:val="center"/>
              <w:rPr>
                <w:sz w:val="23"/>
                <w:szCs w:val="23"/>
              </w:rPr>
            </w:pPr>
            <w:r>
              <w:rPr>
                <w:sz w:val="23"/>
                <w:szCs w:val="23"/>
              </w:rPr>
              <w:t>评审因素</w:t>
            </w:r>
          </w:p>
        </w:tc>
        <w:tc>
          <w:tcPr>
            <w:tcW w:w="3626" w:type="pct"/>
            <w:gridSpan w:val="7"/>
            <w:vAlign w:val="center"/>
          </w:tcPr>
          <w:p>
            <w:pPr>
              <w:pStyle w:val="28"/>
              <w:spacing w:before="9" w:line="310" w:lineRule="atLeast"/>
              <w:ind w:left="5" w:right="71"/>
              <w:jc w:val="center"/>
              <w:rPr>
                <w:sz w:val="23"/>
                <w:szCs w:val="23"/>
              </w:rPr>
            </w:pPr>
            <w:r>
              <w:rPr>
                <w:sz w:val="23"/>
                <w:szCs w:val="23"/>
              </w:rPr>
              <w:t>评审标准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7" w:hRule="atLeast"/>
        </w:trPr>
        <w:tc>
          <w:tcPr>
            <w:tcW w:w="415" w:type="pct"/>
            <w:gridSpan w:val="3"/>
            <w:vAlign w:val="center"/>
          </w:tcPr>
          <w:p>
            <w:pPr>
              <w:pStyle w:val="28"/>
              <w:ind w:left="5"/>
              <w:jc w:val="center"/>
              <w:rPr>
                <w:sz w:val="23"/>
                <w:szCs w:val="23"/>
              </w:rPr>
            </w:pPr>
            <w:r>
              <w:rPr>
                <w:sz w:val="23"/>
                <w:szCs w:val="23"/>
              </w:rPr>
              <w:t>1</w:t>
            </w:r>
          </w:p>
        </w:tc>
        <w:tc>
          <w:tcPr>
            <w:tcW w:w="959" w:type="pct"/>
            <w:gridSpan w:val="3"/>
            <w:vAlign w:val="center"/>
          </w:tcPr>
          <w:p>
            <w:pPr>
              <w:pStyle w:val="28"/>
              <w:spacing w:before="13" w:line="370" w:lineRule="atLeast"/>
              <w:ind w:left="10" w:right="137"/>
              <w:jc w:val="center"/>
              <w:rPr>
                <w:sz w:val="23"/>
                <w:szCs w:val="23"/>
              </w:rPr>
            </w:pPr>
            <w:r>
              <w:rPr>
                <w:sz w:val="23"/>
                <w:szCs w:val="23"/>
              </w:rPr>
              <w:t>投标价控制上限</w:t>
            </w:r>
          </w:p>
        </w:tc>
        <w:tc>
          <w:tcPr>
            <w:tcW w:w="3626" w:type="pct"/>
            <w:gridSpan w:val="7"/>
          </w:tcPr>
          <w:p>
            <w:pPr>
              <w:pStyle w:val="28"/>
              <w:spacing w:before="75"/>
              <w:ind w:left="10"/>
              <w:rPr>
                <w:sz w:val="23"/>
                <w:szCs w:val="23"/>
              </w:rPr>
            </w:pPr>
            <w:r>
              <w:rPr>
                <w:sz w:val="23"/>
                <w:szCs w:val="23"/>
              </w:rPr>
              <w:t>投标报价未超出招标人设定的投标价控制；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0" w:hRule="atLeast"/>
        </w:trPr>
        <w:tc>
          <w:tcPr>
            <w:tcW w:w="415" w:type="pct"/>
            <w:gridSpan w:val="3"/>
            <w:vAlign w:val="center"/>
          </w:tcPr>
          <w:p>
            <w:pPr>
              <w:pStyle w:val="28"/>
              <w:ind w:left="5"/>
              <w:jc w:val="center"/>
              <w:rPr>
                <w:sz w:val="23"/>
                <w:szCs w:val="23"/>
              </w:rPr>
            </w:pPr>
            <w:r>
              <w:rPr>
                <w:sz w:val="23"/>
                <w:szCs w:val="23"/>
              </w:rPr>
              <w:t>2</w:t>
            </w:r>
          </w:p>
        </w:tc>
        <w:tc>
          <w:tcPr>
            <w:tcW w:w="959" w:type="pct"/>
            <w:gridSpan w:val="3"/>
            <w:vAlign w:val="center"/>
          </w:tcPr>
          <w:p>
            <w:pPr>
              <w:pStyle w:val="28"/>
              <w:spacing w:before="13" w:line="370" w:lineRule="atLeast"/>
              <w:ind w:left="10" w:right="137"/>
              <w:jc w:val="center"/>
              <w:rPr>
                <w:sz w:val="23"/>
                <w:szCs w:val="23"/>
              </w:rPr>
            </w:pPr>
            <w:r>
              <w:rPr>
                <w:sz w:val="23"/>
                <w:szCs w:val="23"/>
              </w:rPr>
              <w:t>报价唯一性</w:t>
            </w:r>
          </w:p>
        </w:tc>
        <w:tc>
          <w:tcPr>
            <w:tcW w:w="3626" w:type="pct"/>
            <w:gridSpan w:val="7"/>
          </w:tcPr>
          <w:p>
            <w:pPr>
              <w:pStyle w:val="28"/>
              <w:spacing w:before="13" w:line="370" w:lineRule="atLeast"/>
              <w:ind w:left="10" w:right="43"/>
              <w:rPr>
                <w:sz w:val="23"/>
                <w:szCs w:val="23"/>
              </w:rPr>
            </w:pPr>
            <w:r>
              <w:rPr>
                <w:sz w:val="23"/>
                <w:szCs w:val="23"/>
              </w:rPr>
              <w:t>一份投标文件应只有一个投标报价，在招标文件没有规定的情况下，不得提交选择性报价；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1" w:hRule="atLeast"/>
        </w:trPr>
        <w:tc>
          <w:tcPr>
            <w:tcW w:w="415" w:type="pct"/>
            <w:gridSpan w:val="3"/>
            <w:vAlign w:val="center"/>
          </w:tcPr>
          <w:p>
            <w:pPr>
              <w:pStyle w:val="28"/>
              <w:ind w:left="5"/>
              <w:jc w:val="center"/>
              <w:rPr>
                <w:sz w:val="23"/>
                <w:szCs w:val="23"/>
              </w:rPr>
            </w:pPr>
            <w:r>
              <w:rPr>
                <w:sz w:val="23"/>
                <w:szCs w:val="23"/>
              </w:rPr>
              <w:t>3</w:t>
            </w:r>
          </w:p>
        </w:tc>
        <w:tc>
          <w:tcPr>
            <w:tcW w:w="959" w:type="pct"/>
            <w:gridSpan w:val="3"/>
            <w:vAlign w:val="center"/>
          </w:tcPr>
          <w:p>
            <w:pPr>
              <w:pStyle w:val="28"/>
              <w:ind w:left="10"/>
              <w:jc w:val="center"/>
              <w:rPr>
                <w:sz w:val="23"/>
                <w:szCs w:val="23"/>
              </w:rPr>
            </w:pPr>
            <w:r>
              <w:rPr>
                <w:sz w:val="23"/>
                <w:szCs w:val="23"/>
              </w:rPr>
              <w:t>签字盖章</w:t>
            </w:r>
          </w:p>
        </w:tc>
        <w:tc>
          <w:tcPr>
            <w:tcW w:w="3626" w:type="pct"/>
            <w:gridSpan w:val="7"/>
          </w:tcPr>
          <w:p>
            <w:pPr>
              <w:pStyle w:val="28"/>
              <w:spacing w:before="13" w:line="370" w:lineRule="atLeast"/>
              <w:ind w:left="10" w:right="43"/>
              <w:rPr>
                <w:sz w:val="23"/>
                <w:szCs w:val="23"/>
              </w:rPr>
            </w:pPr>
            <w:r>
              <w:rPr>
                <w:sz w:val="23"/>
                <w:szCs w:val="23"/>
              </w:rPr>
              <w:t>第二信封投标函及投标函附录法定代表人</w:t>
            </w:r>
            <w:r>
              <w:rPr>
                <w:rFonts w:hint="eastAsia"/>
                <w:sz w:val="23"/>
                <w:szCs w:val="23"/>
              </w:rPr>
              <w:t>（或其委托代理人）</w:t>
            </w:r>
            <w:r>
              <w:rPr>
                <w:sz w:val="23"/>
                <w:szCs w:val="23"/>
              </w:rPr>
              <w:t>签字</w:t>
            </w:r>
            <w:r>
              <w:rPr>
                <w:rFonts w:hint="eastAsia"/>
                <w:sz w:val="23"/>
                <w:szCs w:val="23"/>
              </w:rPr>
              <w:t>（或签章）</w:t>
            </w:r>
            <w:r>
              <w:rPr>
                <w:sz w:val="23"/>
                <w:szCs w:val="23"/>
              </w:rPr>
              <w:t>和单位</w:t>
            </w:r>
            <w:r>
              <w:rPr>
                <w:rFonts w:hint="eastAsia"/>
                <w:sz w:val="23"/>
                <w:szCs w:val="23"/>
              </w:rPr>
              <w:t>盖章</w:t>
            </w:r>
            <w:r>
              <w:rPr>
                <w:sz w:val="23"/>
                <w:szCs w:val="23"/>
              </w:rPr>
              <w:t>齐全，符合招标文件的规定；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34" w:type="pct"/>
          <w:trHeight w:val="469" w:hRule="atLeast"/>
        </w:trPr>
        <w:tc>
          <w:tcPr>
            <w:tcW w:w="4966" w:type="pct"/>
            <w:gridSpan w:val="12"/>
          </w:tcPr>
          <w:p>
            <w:pPr>
              <w:pStyle w:val="28"/>
              <w:spacing w:before="6" w:line="290" w:lineRule="exact"/>
              <w:ind w:left="5"/>
              <w:rPr>
                <w:sz w:val="23"/>
                <w:szCs w:val="23"/>
              </w:rPr>
            </w:pPr>
            <w:r>
              <w:rPr>
                <w:sz w:val="23"/>
                <w:szCs w:val="23"/>
              </w:rPr>
              <w:t>投标报价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34" w:type="pct"/>
          <w:trHeight w:val="561" w:hRule="atLeast"/>
        </w:trPr>
        <w:tc>
          <w:tcPr>
            <w:tcW w:w="649" w:type="pct"/>
            <w:gridSpan w:val="4"/>
            <w:vAlign w:val="center"/>
          </w:tcPr>
          <w:p>
            <w:pPr>
              <w:pStyle w:val="28"/>
              <w:spacing w:before="11" w:line="290" w:lineRule="exact"/>
              <w:ind w:left="5"/>
              <w:jc w:val="center"/>
              <w:rPr>
                <w:sz w:val="23"/>
                <w:szCs w:val="23"/>
              </w:rPr>
            </w:pPr>
            <w:r>
              <w:rPr>
                <w:sz w:val="23"/>
                <w:szCs w:val="23"/>
              </w:rPr>
              <w:t>序号</w:t>
            </w:r>
          </w:p>
        </w:tc>
        <w:tc>
          <w:tcPr>
            <w:tcW w:w="1326" w:type="pct"/>
            <w:gridSpan w:val="3"/>
            <w:vAlign w:val="center"/>
          </w:tcPr>
          <w:p>
            <w:pPr>
              <w:pStyle w:val="28"/>
              <w:spacing w:before="11" w:line="290" w:lineRule="exact"/>
              <w:ind w:left="10"/>
              <w:jc w:val="center"/>
              <w:rPr>
                <w:sz w:val="23"/>
                <w:szCs w:val="23"/>
              </w:rPr>
            </w:pPr>
            <w:r>
              <w:rPr>
                <w:sz w:val="23"/>
                <w:szCs w:val="23"/>
              </w:rPr>
              <w:t>评审因素</w:t>
            </w:r>
          </w:p>
        </w:tc>
        <w:tc>
          <w:tcPr>
            <w:tcW w:w="1153" w:type="pct"/>
            <w:vAlign w:val="center"/>
          </w:tcPr>
          <w:p>
            <w:pPr>
              <w:pStyle w:val="28"/>
              <w:spacing w:before="11" w:line="290" w:lineRule="exact"/>
              <w:ind w:left="10"/>
              <w:jc w:val="center"/>
              <w:rPr>
                <w:sz w:val="23"/>
                <w:szCs w:val="23"/>
              </w:rPr>
            </w:pPr>
            <w:r>
              <w:rPr>
                <w:sz w:val="23"/>
                <w:szCs w:val="23"/>
              </w:rPr>
              <w:t>评审标准</w:t>
            </w:r>
          </w:p>
        </w:tc>
        <w:tc>
          <w:tcPr>
            <w:tcW w:w="877" w:type="pct"/>
            <w:vAlign w:val="center"/>
          </w:tcPr>
          <w:p>
            <w:pPr>
              <w:pStyle w:val="28"/>
              <w:spacing w:before="11" w:line="290" w:lineRule="exact"/>
              <w:ind w:left="10"/>
              <w:jc w:val="center"/>
              <w:rPr>
                <w:sz w:val="23"/>
                <w:szCs w:val="23"/>
              </w:rPr>
            </w:pPr>
            <w:r>
              <w:rPr>
                <w:sz w:val="23"/>
                <w:szCs w:val="23"/>
              </w:rPr>
              <w:t>最大值</w:t>
            </w:r>
          </w:p>
        </w:tc>
        <w:tc>
          <w:tcPr>
            <w:tcW w:w="962" w:type="pct"/>
            <w:gridSpan w:val="3"/>
            <w:vAlign w:val="center"/>
          </w:tcPr>
          <w:p>
            <w:pPr>
              <w:pStyle w:val="28"/>
              <w:spacing w:before="11" w:line="290" w:lineRule="exact"/>
              <w:ind w:left="10"/>
              <w:jc w:val="center"/>
              <w:rPr>
                <w:sz w:val="23"/>
                <w:szCs w:val="23"/>
              </w:rPr>
            </w:pPr>
            <w:r>
              <w:rPr>
                <w:sz w:val="23"/>
                <w:szCs w:val="23"/>
              </w:rPr>
              <w:t>最小值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34" w:type="pct"/>
          <w:trHeight w:val="541" w:hRule="atLeast"/>
        </w:trPr>
        <w:tc>
          <w:tcPr>
            <w:tcW w:w="649" w:type="pct"/>
            <w:gridSpan w:val="4"/>
            <w:vAlign w:val="center"/>
          </w:tcPr>
          <w:p>
            <w:pPr>
              <w:pStyle w:val="28"/>
              <w:spacing w:before="43"/>
              <w:ind w:left="5"/>
              <w:jc w:val="center"/>
              <w:rPr>
                <w:sz w:val="23"/>
                <w:szCs w:val="23"/>
              </w:rPr>
            </w:pPr>
            <w:r>
              <w:rPr>
                <w:sz w:val="23"/>
                <w:szCs w:val="23"/>
              </w:rPr>
              <w:t>1</w:t>
            </w:r>
          </w:p>
        </w:tc>
        <w:tc>
          <w:tcPr>
            <w:tcW w:w="1326" w:type="pct"/>
            <w:gridSpan w:val="3"/>
            <w:vAlign w:val="center"/>
          </w:tcPr>
          <w:p>
            <w:pPr>
              <w:pStyle w:val="28"/>
              <w:spacing w:before="75" w:line="291" w:lineRule="exact"/>
              <w:ind w:left="10"/>
              <w:jc w:val="center"/>
              <w:rPr>
                <w:sz w:val="23"/>
                <w:szCs w:val="23"/>
              </w:rPr>
            </w:pPr>
            <w:r>
              <w:rPr>
                <w:sz w:val="23"/>
                <w:szCs w:val="23"/>
              </w:rPr>
              <w:t>评标价评审</w:t>
            </w:r>
          </w:p>
        </w:tc>
        <w:tc>
          <w:tcPr>
            <w:tcW w:w="1153" w:type="pct"/>
            <w:vAlign w:val="center"/>
          </w:tcPr>
          <w:p>
            <w:pPr>
              <w:pStyle w:val="28"/>
              <w:jc w:val="center"/>
              <w:rPr>
                <w:rFonts w:ascii="Times New Roman"/>
                <w:sz w:val="23"/>
                <w:szCs w:val="23"/>
              </w:rPr>
            </w:pPr>
          </w:p>
        </w:tc>
        <w:tc>
          <w:tcPr>
            <w:tcW w:w="877" w:type="pct"/>
            <w:vAlign w:val="center"/>
          </w:tcPr>
          <w:p>
            <w:pPr>
              <w:pStyle w:val="28"/>
              <w:spacing w:before="43"/>
              <w:ind w:left="10"/>
              <w:jc w:val="center"/>
              <w:rPr>
                <w:sz w:val="23"/>
                <w:szCs w:val="23"/>
              </w:rPr>
            </w:pPr>
            <w:r>
              <w:rPr>
                <w:rFonts w:hint="eastAsia"/>
                <w:sz w:val="23"/>
                <w:szCs w:val="23"/>
                <w:lang w:val="en-US"/>
              </w:rPr>
              <w:t>1</w:t>
            </w:r>
            <w:r>
              <w:rPr>
                <w:sz w:val="23"/>
                <w:szCs w:val="23"/>
              </w:rPr>
              <w:t>0.00</w:t>
            </w:r>
          </w:p>
        </w:tc>
        <w:tc>
          <w:tcPr>
            <w:tcW w:w="962" w:type="pct"/>
            <w:gridSpan w:val="3"/>
            <w:vAlign w:val="center"/>
          </w:tcPr>
          <w:p>
            <w:pPr>
              <w:pStyle w:val="28"/>
              <w:spacing w:before="43"/>
              <w:ind w:left="10"/>
              <w:jc w:val="center"/>
              <w:rPr>
                <w:sz w:val="23"/>
                <w:szCs w:val="23"/>
              </w:rPr>
            </w:pPr>
            <w:r>
              <w:rPr>
                <w:sz w:val="23"/>
                <w:szCs w:val="23"/>
              </w:rPr>
              <w:t>0.00</w:t>
            </w:r>
          </w:p>
        </w:tc>
      </w:tr>
    </w:tbl>
    <w:tbl>
      <w:tblPr>
        <w:tblStyle w:val="26"/>
        <w:tblpPr w:leftFromText="180" w:rightFromText="180" w:vertAnchor="text" w:horzAnchor="margin" w:tblpY="11"/>
        <w:tblW w:w="5000"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808"/>
        <w:gridCol w:w="85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1" w:hRule="atLeast"/>
        </w:trPr>
        <w:tc>
          <w:tcPr>
            <w:tcW w:w="434" w:type="pct"/>
          </w:tcPr>
          <w:p>
            <w:pPr>
              <w:pStyle w:val="28"/>
              <w:spacing w:before="49" w:line="240" w:lineRule="exact"/>
              <w:ind w:left="5" w:right="168"/>
              <w:jc w:val="both"/>
              <w:rPr>
                <w:rFonts w:ascii="Times New Roman"/>
                <w:sz w:val="23"/>
                <w:szCs w:val="23"/>
              </w:rPr>
            </w:pPr>
            <w:r>
              <w:rPr>
                <w:sz w:val="23"/>
                <w:szCs w:val="23"/>
              </w:rPr>
              <w:t>报价分计算方法</w:t>
            </w:r>
          </w:p>
        </w:tc>
        <w:tc>
          <w:tcPr>
            <w:tcW w:w="4566" w:type="pct"/>
          </w:tcPr>
          <w:p>
            <w:pPr>
              <w:pStyle w:val="28"/>
              <w:spacing w:line="240" w:lineRule="exact"/>
              <w:rPr>
                <w:sz w:val="23"/>
                <w:szCs w:val="23"/>
              </w:rPr>
            </w:pPr>
            <w:r>
              <w:rPr>
                <w:rFonts w:hint="eastAsia"/>
                <w:sz w:val="23"/>
                <w:szCs w:val="23"/>
              </w:rPr>
              <w:t>（1）确定评标基准价：</w:t>
            </w:r>
            <w:r>
              <w:rPr>
                <w:rFonts w:hint="eastAsia"/>
              </w:rPr>
              <w:t>取所有投标人有效报价（有效报价指投标文件通过第一信封评审与第二信封</w:t>
            </w:r>
            <w:r>
              <w:rPr>
                <w:rFonts w:hint="eastAsia"/>
                <w:bCs/>
                <w:snapToGrid w:val="0"/>
                <w:szCs w:val="21"/>
                <w:lang w:val="en-GB"/>
              </w:rPr>
              <w:t>符合性审查</w:t>
            </w:r>
            <w:r>
              <w:rPr>
                <w:rFonts w:hint="eastAsia"/>
                <w:bCs/>
                <w:snapToGrid w:val="0"/>
                <w:szCs w:val="21"/>
              </w:rPr>
              <w:t>的投标人投标文件第二信封报价投标函中文字报价</w:t>
            </w:r>
            <w:r>
              <w:rPr>
                <w:rFonts w:hint="eastAsia"/>
              </w:rPr>
              <w:t>）作算术平均（有效报价为5家或5家以上时，去掉一个最高值与一个最低值），将该</w:t>
            </w:r>
            <w:r>
              <w:rPr>
                <w:rFonts w:hint="eastAsia"/>
                <w:u w:val="single"/>
              </w:rPr>
              <w:t>平均值直接作为评标基准价。</w:t>
            </w:r>
          </w:p>
          <w:p>
            <w:pPr>
              <w:pStyle w:val="28"/>
              <w:spacing w:line="240" w:lineRule="exact"/>
              <w:rPr>
                <w:sz w:val="23"/>
                <w:szCs w:val="23"/>
              </w:rPr>
            </w:pPr>
            <w:r>
              <w:rPr>
                <w:rFonts w:hint="eastAsia"/>
                <w:sz w:val="23"/>
                <w:szCs w:val="23"/>
              </w:rPr>
              <w:t>如果投标人认为评标基准价计算有误，有权在开标现场提出，经监标人当场核实确认之后，可重新宣布评标价基准价。在评标过程中，评标委员会应对招标人计算的评标基准价进行复核，存在计算错误的应予以修正并在评标报告中作出说明。除此之外，评标基准价在整个评标期间保持不变，不随任何因素发生变化。</w:t>
            </w:r>
          </w:p>
          <w:p>
            <w:pPr>
              <w:pStyle w:val="28"/>
              <w:spacing w:line="240" w:lineRule="exact"/>
              <w:rPr>
                <w:sz w:val="23"/>
                <w:szCs w:val="23"/>
              </w:rPr>
            </w:pPr>
            <w:r>
              <w:rPr>
                <w:rFonts w:hint="eastAsia"/>
                <w:sz w:val="23"/>
                <w:szCs w:val="23"/>
              </w:rPr>
              <w:t>（2）</w:t>
            </w:r>
            <w:r>
              <w:rPr>
                <w:sz w:val="23"/>
                <w:szCs w:val="23"/>
              </w:rPr>
              <w:t>根据评标基准价和投标人报价计算投标人标价得分，高于评标基准价的每高1%扣0.2分，低于评标基准价的每低1%扣0.1分，不足1%的按直线内插法计算。标价分最低为0分。</w:t>
            </w:r>
          </w:p>
        </w:tc>
      </w:tr>
    </w:tbl>
    <w:p>
      <w:pPr>
        <w:rPr>
          <w:sz w:val="24"/>
        </w:rPr>
        <w:sectPr>
          <w:pgSz w:w="12240" w:h="15840"/>
          <w:pgMar w:top="1361" w:right="1474" w:bottom="1361" w:left="1474" w:header="720" w:footer="720" w:gutter="0"/>
          <w:cols w:space="720" w:num="1"/>
        </w:sectPr>
      </w:pPr>
    </w:p>
    <w:p>
      <w:pPr>
        <w:pStyle w:val="10"/>
        <w:numPr>
          <w:ilvl w:val="2"/>
          <w:numId w:val="17"/>
        </w:numPr>
        <w:tabs>
          <w:tab w:val="left" w:pos="639"/>
        </w:tabs>
        <w:spacing w:line="360" w:lineRule="auto"/>
        <w:ind w:left="0" w:firstLine="462" w:firstLineChars="200"/>
        <w:rPr>
          <w:rFonts w:asciiTheme="majorEastAsia" w:hAnsiTheme="majorEastAsia" w:eastAsiaTheme="majorEastAsia"/>
          <w:sz w:val="23"/>
          <w:szCs w:val="23"/>
          <w:u w:val="none"/>
        </w:rPr>
      </w:pPr>
      <w:bookmarkStart w:id="8" w:name="评标方法正文"/>
      <w:bookmarkEnd w:id="8"/>
      <w:r>
        <w:rPr>
          <w:rFonts w:asciiTheme="majorEastAsia" w:hAnsiTheme="majorEastAsia" w:eastAsiaTheme="majorEastAsia"/>
          <w:sz w:val="23"/>
          <w:szCs w:val="23"/>
          <w:u w:val="none"/>
        </w:rPr>
        <w:t>评标方法</w:t>
      </w:r>
    </w:p>
    <w:p>
      <w:pPr>
        <w:pStyle w:val="13"/>
        <w:spacing w:line="360" w:lineRule="auto"/>
        <w:ind w:firstLine="456" w:firstLineChars="200"/>
        <w:rPr>
          <w:rFonts w:asciiTheme="majorEastAsia" w:hAnsiTheme="majorEastAsia" w:eastAsiaTheme="majorEastAsia"/>
          <w:spacing w:val="-1"/>
          <w:sz w:val="23"/>
          <w:szCs w:val="23"/>
        </w:rPr>
      </w:pPr>
      <w:r>
        <w:rPr>
          <w:rFonts w:hint="eastAsia" w:asciiTheme="majorEastAsia" w:hAnsiTheme="majorEastAsia" w:eastAsiaTheme="majorEastAsia"/>
          <w:spacing w:val="-1"/>
          <w:sz w:val="23"/>
          <w:szCs w:val="23"/>
        </w:rPr>
        <w:t>本次评标采用综合评估法。</w:t>
      </w:r>
      <w:r>
        <w:rPr>
          <w:sz w:val="23"/>
          <w:szCs w:val="23"/>
        </w:rPr>
        <w:t>评标委员会对满足招标文件实质性要求的投标文件，按照本章第2.2款规定的评分标准进行打分，并按得分由高到低顺序推荐中标候选人（不足三名，则按实际数量推荐）。评标委员会按投标人综合得分从高到低顺序确定投标人综合得分排名，当同一标段出现2份或2份以上综合得分相同时，则按评标价较低的投标人排名在前；如评标价相同，则按</w:t>
      </w:r>
      <w:r>
        <w:rPr>
          <w:rFonts w:hint="eastAsia"/>
          <w:sz w:val="23"/>
          <w:szCs w:val="23"/>
        </w:rPr>
        <w:t>投入项目负责人得分较高的投标人排名在前；如果项目负责人得分相同，则按</w:t>
      </w:r>
      <w:r>
        <w:rPr>
          <w:rFonts w:hint="eastAsia"/>
          <w:snapToGrid w:val="0"/>
          <w:szCs w:val="21"/>
        </w:rPr>
        <w:t>服务方案得分较高的投标人排名在前；</w:t>
      </w:r>
      <w:r>
        <w:rPr>
          <w:sz w:val="23"/>
          <w:szCs w:val="23"/>
        </w:rPr>
        <w:t>如仍不确定的，由评标委员会</w:t>
      </w:r>
      <w:r>
        <w:rPr>
          <w:rFonts w:hint="eastAsia"/>
          <w:sz w:val="23"/>
          <w:szCs w:val="23"/>
        </w:rPr>
        <w:t>投票</w:t>
      </w:r>
      <w:r>
        <w:rPr>
          <w:sz w:val="23"/>
          <w:szCs w:val="23"/>
        </w:rPr>
        <w:t>确定。评标委员会推荐综合得分排名第一的投标人为第一中标候选人，综合得分排名第二、第三的投标人分别为第二、第三中标候选人。</w:t>
      </w:r>
    </w:p>
    <w:p>
      <w:pPr>
        <w:pStyle w:val="27"/>
        <w:numPr>
          <w:ilvl w:val="2"/>
          <w:numId w:val="17"/>
        </w:numPr>
        <w:tabs>
          <w:tab w:val="left" w:pos="639"/>
        </w:tabs>
        <w:spacing w:line="360" w:lineRule="auto"/>
        <w:ind w:left="0" w:firstLine="200"/>
        <w:rPr>
          <w:rFonts w:asciiTheme="majorEastAsia" w:hAnsiTheme="majorEastAsia" w:eastAsiaTheme="majorEastAsia"/>
          <w:b/>
          <w:sz w:val="23"/>
          <w:szCs w:val="23"/>
        </w:rPr>
      </w:pPr>
      <w:r>
        <w:rPr>
          <w:rFonts w:hint="eastAsia" w:asciiTheme="majorEastAsia" w:hAnsiTheme="majorEastAsia" w:eastAsiaTheme="majorEastAsia"/>
          <w:b/>
          <w:sz w:val="23"/>
          <w:szCs w:val="23"/>
        </w:rPr>
        <w:t>评审标准</w:t>
      </w:r>
    </w:p>
    <w:p>
      <w:pPr>
        <w:pStyle w:val="27"/>
        <w:numPr>
          <w:ilvl w:val="3"/>
          <w:numId w:val="17"/>
        </w:numPr>
        <w:tabs>
          <w:tab w:val="left" w:pos="639"/>
        </w:tabs>
        <w:spacing w:line="360" w:lineRule="auto"/>
        <w:ind w:left="0" w:firstLine="200"/>
        <w:rPr>
          <w:rFonts w:asciiTheme="majorEastAsia" w:hAnsiTheme="majorEastAsia" w:eastAsiaTheme="majorEastAsia"/>
          <w:b/>
          <w:sz w:val="23"/>
          <w:szCs w:val="23"/>
        </w:rPr>
      </w:pPr>
      <w:r>
        <w:rPr>
          <w:rFonts w:hint="eastAsia" w:asciiTheme="majorEastAsia" w:hAnsiTheme="majorEastAsia" w:eastAsiaTheme="majorEastAsia"/>
          <w:b/>
          <w:sz w:val="23"/>
          <w:szCs w:val="23"/>
        </w:rPr>
        <w:t>初步评审标准</w:t>
      </w:r>
    </w:p>
    <w:p>
      <w:pPr>
        <w:pStyle w:val="27"/>
        <w:numPr>
          <w:ilvl w:val="4"/>
          <w:numId w:val="17"/>
        </w:numPr>
        <w:tabs>
          <w:tab w:val="left" w:pos="1418"/>
        </w:tabs>
        <w:spacing w:line="360" w:lineRule="auto"/>
        <w:ind w:left="0" w:firstLine="200"/>
        <w:rPr>
          <w:rFonts w:asciiTheme="majorEastAsia" w:hAnsiTheme="majorEastAsia" w:eastAsiaTheme="majorEastAsia"/>
          <w:sz w:val="23"/>
          <w:szCs w:val="23"/>
        </w:rPr>
      </w:pPr>
      <w:r>
        <w:rPr>
          <w:rFonts w:asciiTheme="majorEastAsia" w:hAnsiTheme="majorEastAsia" w:eastAsiaTheme="majorEastAsia"/>
          <w:sz w:val="23"/>
          <w:szCs w:val="23"/>
        </w:rPr>
        <w:t>形式评审标准：见评标办法前附表。</w:t>
      </w:r>
    </w:p>
    <w:p>
      <w:pPr>
        <w:pStyle w:val="27"/>
        <w:numPr>
          <w:ilvl w:val="4"/>
          <w:numId w:val="17"/>
        </w:numPr>
        <w:tabs>
          <w:tab w:val="left" w:pos="1418"/>
        </w:tabs>
        <w:spacing w:line="360" w:lineRule="auto"/>
        <w:ind w:left="0" w:firstLine="200"/>
        <w:rPr>
          <w:rFonts w:asciiTheme="majorEastAsia" w:hAnsiTheme="majorEastAsia" w:eastAsiaTheme="majorEastAsia"/>
          <w:sz w:val="23"/>
          <w:szCs w:val="23"/>
        </w:rPr>
      </w:pPr>
      <w:r>
        <w:rPr>
          <w:rFonts w:asciiTheme="majorEastAsia" w:hAnsiTheme="majorEastAsia" w:eastAsiaTheme="majorEastAsia"/>
          <w:sz w:val="23"/>
          <w:szCs w:val="23"/>
        </w:rPr>
        <w:t>资格评审标准：见评标办法前附表。</w:t>
      </w:r>
    </w:p>
    <w:p>
      <w:pPr>
        <w:pStyle w:val="27"/>
        <w:numPr>
          <w:ilvl w:val="4"/>
          <w:numId w:val="17"/>
        </w:numPr>
        <w:tabs>
          <w:tab w:val="left" w:pos="1418"/>
        </w:tabs>
        <w:spacing w:line="360" w:lineRule="auto"/>
        <w:ind w:left="0" w:firstLine="200"/>
        <w:rPr>
          <w:rFonts w:asciiTheme="majorEastAsia" w:hAnsiTheme="majorEastAsia" w:eastAsiaTheme="majorEastAsia"/>
          <w:sz w:val="23"/>
          <w:szCs w:val="23"/>
        </w:rPr>
      </w:pPr>
      <w:r>
        <w:rPr>
          <w:rFonts w:asciiTheme="majorEastAsia" w:hAnsiTheme="majorEastAsia" w:eastAsiaTheme="majorEastAsia"/>
          <w:sz w:val="23"/>
          <w:szCs w:val="23"/>
        </w:rPr>
        <w:t>响应性评审标准：见评标办法前附表</w:t>
      </w:r>
    </w:p>
    <w:p>
      <w:pPr>
        <w:pStyle w:val="10"/>
        <w:numPr>
          <w:ilvl w:val="3"/>
          <w:numId w:val="17"/>
        </w:numPr>
        <w:tabs>
          <w:tab w:val="left" w:pos="639"/>
        </w:tabs>
        <w:spacing w:line="360" w:lineRule="auto"/>
        <w:ind w:left="0" w:firstLine="200"/>
        <w:rPr>
          <w:rFonts w:asciiTheme="majorEastAsia" w:hAnsiTheme="majorEastAsia" w:eastAsiaTheme="majorEastAsia"/>
          <w:sz w:val="23"/>
          <w:szCs w:val="23"/>
          <w:u w:val="none"/>
        </w:rPr>
      </w:pPr>
      <w:r>
        <w:rPr>
          <w:rFonts w:asciiTheme="majorEastAsia" w:hAnsiTheme="majorEastAsia" w:eastAsiaTheme="majorEastAsia"/>
          <w:sz w:val="23"/>
          <w:szCs w:val="23"/>
          <w:u w:val="none"/>
        </w:rPr>
        <w:t>分值构成与评分标准</w:t>
      </w:r>
    </w:p>
    <w:p>
      <w:pPr>
        <w:pStyle w:val="27"/>
        <w:numPr>
          <w:ilvl w:val="4"/>
          <w:numId w:val="17"/>
        </w:numPr>
        <w:tabs>
          <w:tab w:val="left" w:pos="1418"/>
        </w:tabs>
        <w:spacing w:line="360" w:lineRule="auto"/>
        <w:ind w:left="0" w:firstLine="200"/>
        <w:rPr>
          <w:rFonts w:asciiTheme="majorEastAsia" w:hAnsiTheme="majorEastAsia" w:eastAsiaTheme="majorEastAsia"/>
          <w:sz w:val="23"/>
          <w:szCs w:val="23"/>
        </w:rPr>
      </w:pPr>
      <w:r>
        <w:rPr>
          <w:rFonts w:asciiTheme="majorEastAsia" w:hAnsiTheme="majorEastAsia" w:eastAsiaTheme="majorEastAsia"/>
          <w:sz w:val="23"/>
          <w:szCs w:val="23"/>
        </w:rPr>
        <w:t>分值构成。</w:t>
      </w:r>
    </w:p>
    <w:p>
      <w:pPr>
        <w:pStyle w:val="27"/>
        <w:numPr>
          <w:ilvl w:val="0"/>
          <w:numId w:val="19"/>
        </w:numPr>
        <w:tabs>
          <w:tab w:val="left" w:pos="1359"/>
        </w:tabs>
        <w:spacing w:line="360" w:lineRule="auto"/>
        <w:ind w:left="0" w:firstLine="200"/>
        <w:rPr>
          <w:rFonts w:asciiTheme="majorEastAsia" w:hAnsiTheme="majorEastAsia" w:eastAsiaTheme="majorEastAsia"/>
          <w:sz w:val="23"/>
          <w:szCs w:val="23"/>
        </w:rPr>
      </w:pPr>
      <w:r>
        <w:rPr>
          <w:rFonts w:asciiTheme="majorEastAsia" w:hAnsiTheme="majorEastAsia" w:eastAsiaTheme="majorEastAsia"/>
          <w:sz w:val="23"/>
          <w:szCs w:val="23"/>
        </w:rPr>
        <w:t>资信业绩部分：见评标办法前附表；</w:t>
      </w:r>
    </w:p>
    <w:p>
      <w:pPr>
        <w:pStyle w:val="27"/>
        <w:numPr>
          <w:ilvl w:val="0"/>
          <w:numId w:val="19"/>
        </w:numPr>
        <w:tabs>
          <w:tab w:val="left" w:pos="1359"/>
        </w:tabs>
        <w:spacing w:line="360" w:lineRule="auto"/>
        <w:ind w:left="0" w:firstLine="200"/>
        <w:rPr>
          <w:rFonts w:asciiTheme="majorEastAsia" w:hAnsiTheme="majorEastAsia" w:eastAsiaTheme="majorEastAsia"/>
          <w:sz w:val="23"/>
          <w:szCs w:val="23"/>
        </w:rPr>
      </w:pPr>
      <w:r>
        <w:rPr>
          <w:rFonts w:asciiTheme="majorEastAsia" w:hAnsiTheme="majorEastAsia" w:eastAsiaTheme="majorEastAsia"/>
          <w:sz w:val="23"/>
          <w:szCs w:val="23"/>
        </w:rPr>
        <w:t>大纲部分：见评标办法前附表；</w:t>
      </w:r>
    </w:p>
    <w:p>
      <w:pPr>
        <w:pStyle w:val="27"/>
        <w:numPr>
          <w:ilvl w:val="0"/>
          <w:numId w:val="19"/>
        </w:numPr>
        <w:tabs>
          <w:tab w:val="left" w:pos="1359"/>
        </w:tabs>
        <w:spacing w:line="360" w:lineRule="auto"/>
        <w:ind w:left="0" w:firstLine="200"/>
        <w:rPr>
          <w:rFonts w:asciiTheme="majorEastAsia" w:hAnsiTheme="majorEastAsia" w:eastAsiaTheme="majorEastAsia"/>
          <w:sz w:val="23"/>
          <w:szCs w:val="23"/>
        </w:rPr>
      </w:pPr>
      <w:r>
        <w:rPr>
          <w:rFonts w:asciiTheme="majorEastAsia" w:hAnsiTheme="majorEastAsia" w:eastAsiaTheme="majorEastAsia"/>
          <w:sz w:val="23"/>
          <w:szCs w:val="23"/>
        </w:rPr>
        <w:t>投标报价：见评标办法前附表；</w:t>
      </w:r>
    </w:p>
    <w:p>
      <w:pPr>
        <w:pStyle w:val="27"/>
        <w:numPr>
          <w:ilvl w:val="0"/>
          <w:numId w:val="19"/>
        </w:numPr>
        <w:tabs>
          <w:tab w:val="left" w:pos="1359"/>
        </w:tabs>
        <w:spacing w:line="360" w:lineRule="auto"/>
        <w:ind w:left="0" w:firstLine="200"/>
        <w:rPr>
          <w:rFonts w:asciiTheme="majorEastAsia" w:hAnsiTheme="majorEastAsia" w:eastAsiaTheme="majorEastAsia"/>
          <w:sz w:val="23"/>
          <w:szCs w:val="23"/>
        </w:rPr>
      </w:pPr>
      <w:r>
        <w:rPr>
          <w:rFonts w:hint="eastAsia" w:asciiTheme="majorEastAsia" w:hAnsiTheme="majorEastAsia" w:eastAsiaTheme="majorEastAsia"/>
          <w:sz w:val="23"/>
          <w:szCs w:val="23"/>
        </w:rPr>
        <w:t>资信业绩</w:t>
      </w:r>
      <w:r>
        <w:rPr>
          <w:rFonts w:asciiTheme="majorEastAsia" w:hAnsiTheme="majorEastAsia" w:eastAsiaTheme="majorEastAsia"/>
          <w:sz w:val="23"/>
          <w:szCs w:val="23"/>
        </w:rPr>
        <w:t>：见评标办法前附表</w:t>
      </w:r>
      <w:r>
        <w:rPr>
          <w:rFonts w:hint="eastAsia" w:asciiTheme="majorEastAsia" w:hAnsiTheme="majorEastAsia" w:eastAsiaTheme="majorEastAsia"/>
          <w:sz w:val="23"/>
          <w:szCs w:val="23"/>
        </w:rPr>
        <w:t>；</w:t>
      </w:r>
    </w:p>
    <w:p>
      <w:pPr>
        <w:pStyle w:val="27"/>
        <w:numPr>
          <w:ilvl w:val="0"/>
          <w:numId w:val="19"/>
        </w:numPr>
        <w:tabs>
          <w:tab w:val="left" w:pos="1359"/>
        </w:tabs>
        <w:spacing w:line="360" w:lineRule="auto"/>
        <w:ind w:left="0" w:firstLine="200"/>
        <w:rPr>
          <w:rFonts w:asciiTheme="majorEastAsia" w:hAnsiTheme="majorEastAsia" w:eastAsiaTheme="majorEastAsia"/>
          <w:sz w:val="23"/>
          <w:szCs w:val="23"/>
        </w:rPr>
      </w:pPr>
      <w:r>
        <w:rPr>
          <w:rFonts w:hint="eastAsia" w:asciiTheme="majorEastAsia" w:hAnsiTheme="majorEastAsia" w:eastAsiaTheme="majorEastAsia"/>
          <w:sz w:val="23"/>
          <w:szCs w:val="23"/>
        </w:rPr>
        <w:t>履约信誉</w:t>
      </w:r>
      <w:r>
        <w:rPr>
          <w:rFonts w:asciiTheme="majorEastAsia" w:hAnsiTheme="majorEastAsia" w:eastAsiaTheme="majorEastAsia"/>
          <w:sz w:val="23"/>
          <w:szCs w:val="23"/>
        </w:rPr>
        <w:t>：见评标办法前附表</w:t>
      </w:r>
      <w:r>
        <w:rPr>
          <w:rFonts w:hint="eastAsia" w:asciiTheme="majorEastAsia" w:hAnsiTheme="majorEastAsia" w:eastAsiaTheme="majorEastAsia"/>
          <w:sz w:val="23"/>
          <w:szCs w:val="23"/>
        </w:rPr>
        <w:t>；</w:t>
      </w:r>
    </w:p>
    <w:p>
      <w:pPr>
        <w:pStyle w:val="27"/>
        <w:numPr>
          <w:ilvl w:val="4"/>
          <w:numId w:val="17"/>
        </w:numPr>
        <w:tabs>
          <w:tab w:val="left" w:pos="1418"/>
        </w:tabs>
        <w:spacing w:line="360" w:lineRule="auto"/>
        <w:ind w:left="0" w:firstLine="200"/>
        <w:rPr>
          <w:rFonts w:asciiTheme="majorEastAsia" w:hAnsiTheme="majorEastAsia" w:eastAsiaTheme="majorEastAsia"/>
          <w:sz w:val="23"/>
          <w:szCs w:val="23"/>
        </w:rPr>
      </w:pPr>
      <w:r>
        <w:rPr>
          <w:rFonts w:asciiTheme="majorEastAsia" w:hAnsiTheme="majorEastAsia" w:eastAsiaTheme="majorEastAsia"/>
          <w:sz w:val="23"/>
          <w:szCs w:val="23"/>
        </w:rPr>
        <w:t>评标基准价计算</w:t>
      </w:r>
    </w:p>
    <w:p>
      <w:pPr>
        <w:pStyle w:val="13"/>
        <w:spacing w:line="360" w:lineRule="auto"/>
        <w:ind w:firstLine="200"/>
        <w:rPr>
          <w:rFonts w:asciiTheme="majorEastAsia" w:hAnsiTheme="majorEastAsia" w:eastAsiaTheme="majorEastAsia"/>
          <w:sz w:val="23"/>
          <w:szCs w:val="23"/>
        </w:rPr>
      </w:pPr>
      <w:r>
        <w:rPr>
          <w:rFonts w:asciiTheme="majorEastAsia" w:hAnsiTheme="majorEastAsia" w:eastAsiaTheme="majorEastAsia"/>
          <w:sz w:val="23"/>
          <w:szCs w:val="23"/>
        </w:rPr>
        <w:t>评标基准价计算方法：见评标办法前附表。</w:t>
      </w:r>
    </w:p>
    <w:p>
      <w:pPr>
        <w:pStyle w:val="27"/>
        <w:numPr>
          <w:ilvl w:val="4"/>
          <w:numId w:val="17"/>
        </w:numPr>
        <w:tabs>
          <w:tab w:val="left" w:pos="1418"/>
        </w:tabs>
        <w:spacing w:line="360" w:lineRule="auto"/>
        <w:ind w:left="0" w:firstLine="200"/>
        <w:rPr>
          <w:rFonts w:asciiTheme="majorEastAsia" w:hAnsiTheme="majorEastAsia" w:eastAsiaTheme="majorEastAsia"/>
          <w:sz w:val="23"/>
          <w:szCs w:val="23"/>
        </w:rPr>
      </w:pPr>
      <w:r>
        <w:rPr>
          <w:rFonts w:asciiTheme="majorEastAsia" w:hAnsiTheme="majorEastAsia" w:eastAsiaTheme="majorEastAsia"/>
          <w:sz w:val="23"/>
          <w:szCs w:val="23"/>
        </w:rPr>
        <w:t>投标报价的偏差率计算</w:t>
      </w:r>
    </w:p>
    <w:p>
      <w:pPr>
        <w:pStyle w:val="13"/>
        <w:spacing w:line="360" w:lineRule="auto"/>
        <w:ind w:firstLine="200"/>
        <w:rPr>
          <w:rFonts w:asciiTheme="majorEastAsia" w:hAnsiTheme="majorEastAsia" w:eastAsiaTheme="majorEastAsia"/>
          <w:sz w:val="23"/>
          <w:szCs w:val="23"/>
        </w:rPr>
      </w:pPr>
      <w:r>
        <w:rPr>
          <w:rFonts w:asciiTheme="majorEastAsia" w:hAnsiTheme="majorEastAsia" w:eastAsiaTheme="majorEastAsia"/>
          <w:sz w:val="23"/>
          <w:szCs w:val="23"/>
        </w:rPr>
        <w:t>投标报价的偏差率计算公式：见评标办法前附表。</w:t>
      </w:r>
    </w:p>
    <w:p>
      <w:pPr>
        <w:pStyle w:val="27"/>
        <w:numPr>
          <w:ilvl w:val="4"/>
          <w:numId w:val="17"/>
        </w:numPr>
        <w:tabs>
          <w:tab w:val="left" w:pos="1418"/>
        </w:tabs>
        <w:spacing w:line="360" w:lineRule="auto"/>
        <w:ind w:left="0" w:firstLine="200"/>
        <w:rPr>
          <w:rFonts w:asciiTheme="majorEastAsia" w:hAnsiTheme="majorEastAsia" w:eastAsiaTheme="majorEastAsia"/>
          <w:sz w:val="23"/>
          <w:szCs w:val="23"/>
        </w:rPr>
      </w:pPr>
      <w:r>
        <w:rPr>
          <w:rFonts w:asciiTheme="majorEastAsia" w:hAnsiTheme="majorEastAsia" w:eastAsiaTheme="majorEastAsia"/>
          <w:sz w:val="23"/>
          <w:szCs w:val="23"/>
        </w:rPr>
        <w:t>评分标准</w:t>
      </w:r>
    </w:p>
    <w:p>
      <w:pPr>
        <w:pStyle w:val="27"/>
        <w:numPr>
          <w:ilvl w:val="0"/>
          <w:numId w:val="20"/>
        </w:numPr>
        <w:tabs>
          <w:tab w:val="left" w:pos="1359"/>
        </w:tabs>
        <w:spacing w:line="360" w:lineRule="auto"/>
        <w:ind w:left="0" w:firstLine="200"/>
        <w:rPr>
          <w:rFonts w:asciiTheme="majorEastAsia" w:hAnsiTheme="majorEastAsia" w:eastAsiaTheme="majorEastAsia"/>
          <w:sz w:val="23"/>
          <w:szCs w:val="23"/>
        </w:rPr>
      </w:pPr>
      <w:r>
        <w:rPr>
          <w:rFonts w:asciiTheme="majorEastAsia" w:hAnsiTheme="majorEastAsia" w:eastAsiaTheme="majorEastAsia"/>
          <w:sz w:val="23"/>
          <w:szCs w:val="23"/>
        </w:rPr>
        <w:t>资信业绩评分标准：见评标办法前附表；</w:t>
      </w:r>
    </w:p>
    <w:p>
      <w:pPr>
        <w:pStyle w:val="27"/>
        <w:numPr>
          <w:ilvl w:val="0"/>
          <w:numId w:val="20"/>
        </w:numPr>
        <w:tabs>
          <w:tab w:val="left" w:pos="1359"/>
        </w:tabs>
        <w:spacing w:line="360" w:lineRule="auto"/>
        <w:ind w:left="0" w:firstLine="200"/>
        <w:rPr>
          <w:rFonts w:asciiTheme="majorEastAsia" w:hAnsiTheme="majorEastAsia" w:eastAsiaTheme="majorEastAsia"/>
          <w:sz w:val="23"/>
          <w:szCs w:val="23"/>
        </w:rPr>
      </w:pPr>
      <w:r>
        <w:rPr>
          <w:rFonts w:asciiTheme="majorEastAsia" w:hAnsiTheme="majorEastAsia" w:eastAsiaTheme="majorEastAsia"/>
          <w:sz w:val="23"/>
          <w:szCs w:val="23"/>
        </w:rPr>
        <w:t>大纲评分标准：见评标办法前附表；</w:t>
      </w:r>
    </w:p>
    <w:p>
      <w:pPr>
        <w:pStyle w:val="27"/>
        <w:numPr>
          <w:ilvl w:val="0"/>
          <w:numId w:val="20"/>
        </w:numPr>
        <w:tabs>
          <w:tab w:val="left" w:pos="1359"/>
        </w:tabs>
        <w:spacing w:line="360" w:lineRule="auto"/>
        <w:ind w:left="0" w:firstLine="200"/>
        <w:rPr>
          <w:rFonts w:asciiTheme="majorEastAsia" w:hAnsiTheme="majorEastAsia" w:eastAsiaTheme="majorEastAsia"/>
          <w:sz w:val="23"/>
          <w:szCs w:val="23"/>
        </w:rPr>
      </w:pPr>
      <w:r>
        <w:rPr>
          <w:rFonts w:asciiTheme="majorEastAsia" w:hAnsiTheme="majorEastAsia" w:eastAsiaTheme="majorEastAsia"/>
          <w:sz w:val="23"/>
          <w:szCs w:val="23"/>
        </w:rPr>
        <w:t>投标报价评分标准：见评标办法前附表；</w:t>
      </w:r>
    </w:p>
    <w:p>
      <w:pPr>
        <w:pStyle w:val="27"/>
        <w:numPr>
          <w:ilvl w:val="0"/>
          <w:numId w:val="20"/>
        </w:numPr>
        <w:tabs>
          <w:tab w:val="left" w:pos="1359"/>
        </w:tabs>
        <w:spacing w:line="360" w:lineRule="auto"/>
        <w:ind w:left="0" w:firstLine="200"/>
        <w:rPr>
          <w:rFonts w:asciiTheme="majorEastAsia" w:hAnsiTheme="majorEastAsia" w:eastAsiaTheme="majorEastAsia"/>
          <w:sz w:val="23"/>
          <w:szCs w:val="23"/>
        </w:rPr>
      </w:pPr>
      <w:r>
        <w:rPr>
          <w:rFonts w:hint="eastAsia" w:asciiTheme="majorEastAsia" w:hAnsiTheme="majorEastAsia" w:eastAsiaTheme="majorEastAsia"/>
          <w:sz w:val="23"/>
          <w:szCs w:val="23"/>
        </w:rPr>
        <w:t>资信业绩</w:t>
      </w:r>
      <w:r>
        <w:rPr>
          <w:rFonts w:asciiTheme="majorEastAsia" w:hAnsiTheme="majorEastAsia" w:eastAsiaTheme="majorEastAsia"/>
          <w:sz w:val="23"/>
          <w:szCs w:val="23"/>
        </w:rPr>
        <w:t>：见评标办法前附表</w:t>
      </w:r>
      <w:r>
        <w:rPr>
          <w:rFonts w:hint="eastAsia" w:asciiTheme="majorEastAsia" w:hAnsiTheme="majorEastAsia" w:eastAsiaTheme="majorEastAsia"/>
          <w:sz w:val="23"/>
          <w:szCs w:val="23"/>
        </w:rPr>
        <w:t>；</w:t>
      </w:r>
    </w:p>
    <w:p>
      <w:pPr>
        <w:pStyle w:val="27"/>
        <w:numPr>
          <w:ilvl w:val="0"/>
          <w:numId w:val="20"/>
        </w:numPr>
        <w:tabs>
          <w:tab w:val="left" w:pos="1359"/>
        </w:tabs>
        <w:spacing w:line="360" w:lineRule="auto"/>
        <w:ind w:left="0" w:firstLine="200"/>
        <w:rPr>
          <w:rFonts w:asciiTheme="majorEastAsia" w:hAnsiTheme="majorEastAsia" w:eastAsiaTheme="majorEastAsia"/>
          <w:sz w:val="23"/>
          <w:szCs w:val="23"/>
        </w:rPr>
      </w:pPr>
      <w:r>
        <w:rPr>
          <w:rFonts w:hint="eastAsia" w:asciiTheme="majorEastAsia" w:hAnsiTheme="majorEastAsia" w:eastAsiaTheme="majorEastAsia"/>
          <w:sz w:val="23"/>
          <w:szCs w:val="23"/>
        </w:rPr>
        <w:t>履约信誉</w:t>
      </w:r>
      <w:r>
        <w:rPr>
          <w:rFonts w:asciiTheme="majorEastAsia" w:hAnsiTheme="majorEastAsia" w:eastAsiaTheme="majorEastAsia"/>
          <w:sz w:val="23"/>
          <w:szCs w:val="23"/>
        </w:rPr>
        <w:t>：见评标办法前附表</w:t>
      </w:r>
      <w:r>
        <w:rPr>
          <w:rFonts w:hint="eastAsia" w:asciiTheme="majorEastAsia" w:hAnsiTheme="majorEastAsia" w:eastAsiaTheme="majorEastAsia"/>
          <w:sz w:val="23"/>
          <w:szCs w:val="23"/>
        </w:rPr>
        <w:t>；</w:t>
      </w:r>
    </w:p>
    <w:p>
      <w:pPr>
        <w:pStyle w:val="27"/>
        <w:numPr>
          <w:ilvl w:val="2"/>
          <w:numId w:val="17"/>
        </w:numPr>
        <w:tabs>
          <w:tab w:val="left" w:pos="639"/>
        </w:tabs>
        <w:spacing w:line="360" w:lineRule="auto"/>
        <w:ind w:left="0" w:firstLine="200"/>
        <w:rPr>
          <w:rFonts w:asciiTheme="majorEastAsia" w:hAnsiTheme="majorEastAsia" w:eastAsiaTheme="majorEastAsia"/>
          <w:b/>
          <w:sz w:val="23"/>
          <w:szCs w:val="23"/>
        </w:rPr>
      </w:pPr>
      <w:r>
        <w:rPr>
          <w:rFonts w:asciiTheme="majorEastAsia" w:hAnsiTheme="majorEastAsia" w:eastAsiaTheme="majorEastAsia"/>
          <w:b/>
          <w:sz w:val="23"/>
          <w:szCs w:val="23"/>
        </w:rPr>
        <w:t>评标程序</w:t>
      </w:r>
    </w:p>
    <w:p>
      <w:pPr>
        <w:pStyle w:val="10"/>
        <w:numPr>
          <w:ilvl w:val="3"/>
          <w:numId w:val="17"/>
        </w:numPr>
        <w:tabs>
          <w:tab w:val="left" w:pos="639"/>
        </w:tabs>
        <w:spacing w:line="360" w:lineRule="auto"/>
        <w:ind w:left="0" w:firstLine="200"/>
        <w:rPr>
          <w:rFonts w:asciiTheme="majorEastAsia" w:hAnsiTheme="majorEastAsia" w:eastAsiaTheme="majorEastAsia"/>
          <w:sz w:val="23"/>
          <w:szCs w:val="23"/>
        </w:rPr>
      </w:pPr>
      <w:r>
        <w:rPr>
          <w:rFonts w:hint="eastAsia" w:asciiTheme="majorEastAsia" w:hAnsiTheme="majorEastAsia" w:eastAsiaTheme="majorEastAsia"/>
          <w:sz w:val="23"/>
          <w:szCs w:val="23"/>
        </w:rPr>
        <w:t>初步评审</w:t>
      </w:r>
    </w:p>
    <w:p>
      <w:pPr>
        <w:pStyle w:val="27"/>
        <w:numPr>
          <w:ilvl w:val="4"/>
          <w:numId w:val="17"/>
        </w:numPr>
        <w:tabs>
          <w:tab w:val="left" w:pos="1418"/>
        </w:tabs>
        <w:spacing w:line="360" w:lineRule="auto"/>
        <w:ind w:left="0" w:firstLine="200"/>
        <w:rPr>
          <w:rFonts w:asciiTheme="majorEastAsia" w:hAnsiTheme="majorEastAsia" w:eastAsiaTheme="majorEastAsia"/>
          <w:sz w:val="23"/>
          <w:szCs w:val="23"/>
        </w:rPr>
      </w:pPr>
      <w:r>
        <w:rPr>
          <w:rFonts w:asciiTheme="majorEastAsia" w:hAnsiTheme="majorEastAsia" w:eastAsiaTheme="majorEastAsia"/>
          <w:spacing w:val="-3"/>
          <w:sz w:val="23"/>
          <w:szCs w:val="23"/>
        </w:rPr>
        <w:t xml:space="preserve">评标委员会依据本章第 </w:t>
      </w:r>
      <w:r>
        <w:rPr>
          <w:rFonts w:asciiTheme="majorEastAsia" w:hAnsiTheme="majorEastAsia" w:eastAsiaTheme="majorEastAsia"/>
          <w:sz w:val="23"/>
          <w:szCs w:val="23"/>
        </w:rPr>
        <w:t>2.1</w:t>
      </w:r>
      <w:r>
        <w:rPr>
          <w:rFonts w:asciiTheme="majorEastAsia" w:hAnsiTheme="majorEastAsia" w:eastAsiaTheme="majorEastAsia"/>
          <w:spacing w:val="-8"/>
          <w:sz w:val="23"/>
          <w:szCs w:val="23"/>
        </w:rPr>
        <w:t xml:space="preserve"> 款规定的标准对投标文件进行初步评审。有一项不符合评审标准的，评标委员会应当否决其投标。</w:t>
      </w:r>
    </w:p>
    <w:p>
      <w:pPr>
        <w:pStyle w:val="27"/>
        <w:numPr>
          <w:ilvl w:val="4"/>
          <w:numId w:val="17"/>
        </w:numPr>
        <w:tabs>
          <w:tab w:val="left" w:pos="1418"/>
        </w:tabs>
        <w:spacing w:line="360" w:lineRule="auto"/>
        <w:ind w:left="0" w:firstLine="200"/>
        <w:rPr>
          <w:rFonts w:asciiTheme="majorEastAsia" w:hAnsiTheme="majorEastAsia" w:eastAsiaTheme="majorEastAsia"/>
          <w:sz w:val="23"/>
          <w:szCs w:val="23"/>
        </w:rPr>
      </w:pPr>
      <w:r>
        <w:rPr>
          <w:rFonts w:asciiTheme="majorEastAsia" w:hAnsiTheme="majorEastAsia" w:eastAsiaTheme="majorEastAsia"/>
          <w:sz w:val="23"/>
          <w:szCs w:val="23"/>
        </w:rPr>
        <w:t>投标人有以下情形之一的，评标委员会应当否决其投标：</w:t>
      </w:r>
    </w:p>
    <w:p>
      <w:pPr>
        <w:pStyle w:val="27"/>
        <w:numPr>
          <w:ilvl w:val="0"/>
          <w:numId w:val="21"/>
        </w:numPr>
        <w:tabs>
          <w:tab w:val="left" w:pos="1359"/>
        </w:tabs>
        <w:spacing w:line="360" w:lineRule="auto"/>
        <w:ind w:left="0" w:firstLine="200"/>
        <w:rPr>
          <w:rFonts w:asciiTheme="majorEastAsia" w:hAnsiTheme="majorEastAsia" w:eastAsiaTheme="majorEastAsia"/>
          <w:sz w:val="23"/>
          <w:szCs w:val="23"/>
        </w:rPr>
      </w:pPr>
      <w:r>
        <w:rPr>
          <w:rFonts w:asciiTheme="majorEastAsia" w:hAnsiTheme="majorEastAsia" w:eastAsiaTheme="majorEastAsia"/>
          <w:spacing w:val="-1"/>
          <w:sz w:val="23"/>
          <w:szCs w:val="23"/>
        </w:rPr>
        <w:t>投标文件没有对招标文件的实质性要求和条件作出响应，或者对招标文件的</w:t>
      </w:r>
      <w:r>
        <w:rPr>
          <w:rFonts w:asciiTheme="majorEastAsia" w:hAnsiTheme="majorEastAsia" w:eastAsiaTheme="majorEastAsia"/>
          <w:sz w:val="23"/>
          <w:szCs w:val="23"/>
        </w:rPr>
        <w:t>偏差超出招标文件规定的偏差范围或最高项数；</w:t>
      </w:r>
    </w:p>
    <w:p>
      <w:pPr>
        <w:pStyle w:val="27"/>
        <w:numPr>
          <w:ilvl w:val="0"/>
          <w:numId w:val="21"/>
        </w:numPr>
        <w:tabs>
          <w:tab w:val="left" w:pos="1359"/>
        </w:tabs>
        <w:spacing w:line="360" w:lineRule="auto"/>
        <w:ind w:left="0" w:firstLine="200"/>
        <w:rPr>
          <w:rFonts w:asciiTheme="majorEastAsia" w:hAnsiTheme="majorEastAsia" w:eastAsiaTheme="majorEastAsia"/>
          <w:sz w:val="23"/>
          <w:szCs w:val="23"/>
        </w:rPr>
      </w:pPr>
      <w:r>
        <w:rPr>
          <w:rFonts w:asciiTheme="majorEastAsia" w:hAnsiTheme="majorEastAsia" w:eastAsiaTheme="majorEastAsia"/>
          <w:sz w:val="23"/>
          <w:szCs w:val="23"/>
        </w:rPr>
        <w:t>有串通投标、弄虚作假、行贿等违法行为。</w:t>
      </w:r>
    </w:p>
    <w:p>
      <w:pPr>
        <w:pStyle w:val="27"/>
        <w:numPr>
          <w:ilvl w:val="4"/>
          <w:numId w:val="17"/>
        </w:numPr>
        <w:tabs>
          <w:tab w:val="left" w:pos="1418"/>
        </w:tabs>
        <w:spacing w:line="360" w:lineRule="auto"/>
        <w:ind w:left="0" w:firstLine="200"/>
        <w:rPr>
          <w:rFonts w:asciiTheme="majorEastAsia" w:hAnsiTheme="majorEastAsia" w:eastAsiaTheme="majorEastAsia"/>
          <w:sz w:val="23"/>
          <w:szCs w:val="23"/>
        </w:rPr>
      </w:pPr>
      <w:r>
        <w:rPr>
          <w:rFonts w:asciiTheme="majorEastAsia" w:hAnsiTheme="majorEastAsia" w:eastAsiaTheme="majorEastAsia"/>
          <w:spacing w:val="-1"/>
          <w:sz w:val="23"/>
          <w:szCs w:val="23"/>
        </w:rPr>
        <w:t>投标报价有算术错误及其他错误的，评标委员会按以下原则要求投标人对投</w:t>
      </w:r>
      <w:r>
        <w:rPr>
          <w:rFonts w:asciiTheme="majorEastAsia" w:hAnsiTheme="majorEastAsia" w:eastAsiaTheme="majorEastAsia"/>
          <w:sz w:val="23"/>
          <w:szCs w:val="23"/>
        </w:rPr>
        <w:t>标报价进行修正，并要求投标人书面澄清确认。投标人拒不澄清确认的，评标委员会应当否决其投标：</w:t>
      </w:r>
    </w:p>
    <w:p>
      <w:pPr>
        <w:pStyle w:val="27"/>
        <w:numPr>
          <w:ilvl w:val="0"/>
          <w:numId w:val="22"/>
        </w:numPr>
        <w:tabs>
          <w:tab w:val="left" w:pos="1359"/>
        </w:tabs>
        <w:spacing w:line="360" w:lineRule="auto"/>
        <w:ind w:left="0" w:firstLine="200"/>
        <w:rPr>
          <w:rFonts w:asciiTheme="majorEastAsia" w:hAnsiTheme="majorEastAsia" w:eastAsiaTheme="majorEastAsia"/>
          <w:sz w:val="23"/>
          <w:szCs w:val="23"/>
        </w:rPr>
      </w:pPr>
      <w:r>
        <w:rPr>
          <w:rFonts w:asciiTheme="majorEastAsia" w:hAnsiTheme="majorEastAsia" w:eastAsiaTheme="majorEastAsia"/>
          <w:sz w:val="23"/>
          <w:szCs w:val="23"/>
        </w:rPr>
        <w:t>投标文件中的大写金额与小写金额不一致的，以大写金额为准；</w:t>
      </w:r>
    </w:p>
    <w:p>
      <w:pPr>
        <w:pStyle w:val="27"/>
        <w:numPr>
          <w:ilvl w:val="0"/>
          <w:numId w:val="22"/>
        </w:numPr>
        <w:tabs>
          <w:tab w:val="left" w:pos="1359"/>
        </w:tabs>
        <w:spacing w:line="360" w:lineRule="auto"/>
        <w:ind w:left="0" w:firstLine="200"/>
        <w:rPr>
          <w:rFonts w:asciiTheme="majorEastAsia" w:hAnsiTheme="majorEastAsia" w:eastAsiaTheme="majorEastAsia"/>
          <w:sz w:val="23"/>
          <w:szCs w:val="23"/>
        </w:rPr>
      </w:pPr>
      <w:r>
        <w:rPr>
          <w:rFonts w:asciiTheme="majorEastAsia" w:hAnsiTheme="majorEastAsia" w:eastAsiaTheme="majorEastAsia"/>
          <w:spacing w:val="-1"/>
          <w:sz w:val="23"/>
          <w:szCs w:val="23"/>
        </w:rPr>
        <w:t>总价金额与单价金额不一致的，以单价金额为准，但单价金额小数点有明显</w:t>
      </w:r>
      <w:r>
        <w:rPr>
          <w:rFonts w:asciiTheme="majorEastAsia" w:hAnsiTheme="majorEastAsia" w:eastAsiaTheme="majorEastAsia"/>
          <w:sz w:val="23"/>
          <w:szCs w:val="23"/>
        </w:rPr>
        <w:t>错误的除外。</w:t>
      </w:r>
    </w:p>
    <w:p>
      <w:pPr>
        <w:pStyle w:val="27"/>
        <w:numPr>
          <w:ilvl w:val="4"/>
          <w:numId w:val="17"/>
        </w:numPr>
        <w:tabs>
          <w:tab w:val="left" w:pos="1418"/>
        </w:tabs>
        <w:spacing w:line="360" w:lineRule="auto"/>
        <w:ind w:left="0" w:firstLine="200"/>
        <w:rPr>
          <w:rFonts w:asciiTheme="majorEastAsia" w:hAnsiTheme="majorEastAsia" w:eastAsiaTheme="majorEastAsia"/>
          <w:spacing w:val="-1"/>
          <w:sz w:val="23"/>
          <w:szCs w:val="23"/>
        </w:rPr>
      </w:pPr>
      <w:r>
        <w:rPr>
          <w:rFonts w:asciiTheme="majorEastAsia" w:hAnsiTheme="majorEastAsia" w:eastAsiaTheme="majorEastAsia"/>
          <w:spacing w:val="-1"/>
          <w:sz w:val="23"/>
          <w:szCs w:val="23"/>
        </w:rPr>
        <w:t>若有效投标文件不足三个，评标委员会应当认真审查有效投标是否具有竞争</w:t>
      </w:r>
      <w:r>
        <w:rPr>
          <w:rFonts w:hint="eastAsia" w:asciiTheme="majorEastAsia" w:hAnsiTheme="majorEastAsia" w:eastAsiaTheme="majorEastAsia"/>
          <w:spacing w:val="-1"/>
          <w:sz w:val="23"/>
          <w:szCs w:val="23"/>
        </w:rPr>
        <w:t>性，如认定投标具有竞争性的，可以进行评标，并在评标报告中载明；如认定投标明显缺乏竞争，决定否决全部投标的，招标人应当依法重新招标。</w:t>
      </w:r>
    </w:p>
    <w:p>
      <w:pPr>
        <w:pStyle w:val="27"/>
        <w:numPr>
          <w:ilvl w:val="3"/>
          <w:numId w:val="17"/>
        </w:numPr>
        <w:tabs>
          <w:tab w:val="left" w:pos="639"/>
        </w:tabs>
        <w:spacing w:line="360" w:lineRule="auto"/>
        <w:ind w:left="0" w:firstLine="200"/>
        <w:rPr>
          <w:rFonts w:asciiTheme="majorEastAsia" w:hAnsiTheme="majorEastAsia" w:eastAsiaTheme="majorEastAsia"/>
          <w:b/>
          <w:sz w:val="23"/>
          <w:szCs w:val="23"/>
        </w:rPr>
      </w:pPr>
      <w:r>
        <w:rPr>
          <w:rFonts w:hint="eastAsia" w:asciiTheme="majorEastAsia" w:hAnsiTheme="majorEastAsia" w:eastAsiaTheme="majorEastAsia"/>
          <w:b/>
          <w:sz w:val="23"/>
          <w:szCs w:val="23"/>
        </w:rPr>
        <w:t>详细评审</w:t>
      </w:r>
    </w:p>
    <w:p>
      <w:pPr>
        <w:pStyle w:val="13"/>
        <w:spacing w:line="360" w:lineRule="auto"/>
        <w:ind w:firstLine="456" w:firstLineChars="200"/>
        <w:rPr>
          <w:rFonts w:asciiTheme="majorEastAsia" w:hAnsiTheme="majorEastAsia" w:eastAsiaTheme="majorEastAsia"/>
          <w:spacing w:val="-1"/>
          <w:sz w:val="23"/>
          <w:szCs w:val="23"/>
        </w:rPr>
      </w:pPr>
      <w:r>
        <w:rPr>
          <w:rFonts w:asciiTheme="majorEastAsia" w:hAnsiTheme="majorEastAsia" w:eastAsiaTheme="majorEastAsia"/>
          <w:spacing w:val="-1"/>
          <w:sz w:val="23"/>
          <w:szCs w:val="23"/>
        </w:rPr>
        <w:t>评标委员会按本章第 2.2 款规定的量化因素和分值进行打分，并计算出综合评估得分。</w:t>
      </w:r>
    </w:p>
    <w:p>
      <w:pPr>
        <w:pStyle w:val="13"/>
        <w:spacing w:line="360" w:lineRule="auto"/>
        <w:ind w:firstLine="456" w:firstLineChars="200"/>
        <w:rPr>
          <w:rFonts w:asciiTheme="majorEastAsia" w:hAnsiTheme="majorEastAsia" w:eastAsiaTheme="majorEastAsia"/>
          <w:spacing w:val="-1"/>
          <w:sz w:val="23"/>
          <w:szCs w:val="23"/>
        </w:rPr>
      </w:pPr>
      <w:r>
        <w:rPr>
          <w:rFonts w:hint="eastAsia" w:asciiTheme="majorEastAsia" w:hAnsiTheme="majorEastAsia" w:eastAsiaTheme="majorEastAsia"/>
          <w:spacing w:val="-1"/>
          <w:sz w:val="23"/>
          <w:szCs w:val="23"/>
        </w:rPr>
        <w:t>（1）</w:t>
      </w:r>
      <w:r>
        <w:rPr>
          <w:rFonts w:asciiTheme="majorEastAsia" w:hAnsiTheme="majorEastAsia" w:eastAsiaTheme="majorEastAsia"/>
          <w:spacing w:val="-1"/>
          <w:sz w:val="23"/>
          <w:szCs w:val="23"/>
        </w:rPr>
        <w:t>按</w:t>
      </w:r>
      <w:r>
        <w:rPr>
          <w:rFonts w:asciiTheme="majorEastAsia" w:hAnsiTheme="majorEastAsia" w:eastAsiaTheme="majorEastAsia"/>
          <w:sz w:val="23"/>
          <w:szCs w:val="23"/>
        </w:rPr>
        <w:t>评标办法前附表</w:t>
      </w:r>
      <w:r>
        <w:rPr>
          <w:rFonts w:asciiTheme="majorEastAsia" w:hAnsiTheme="majorEastAsia" w:eastAsiaTheme="majorEastAsia"/>
          <w:spacing w:val="-1"/>
          <w:sz w:val="23"/>
          <w:szCs w:val="23"/>
        </w:rPr>
        <w:t>规定的评审因素和分值对资信业绩部分计算出得分 A；</w:t>
      </w:r>
    </w:p>
    <w:p>
      <w:pPr>
        <w:pStyle w:val="13"/>
        <w:spacing w:line="360" w:lineRule="auto"/>
        <w:ind w:firstLine="456" w:firstLineChars="200"/>
        <w:rPr>
          <w:rFonts w:asciiTheme="majorEastAsia" w:hAnsiTheme="majorEastAsia" w:eastAsiaTheme="majorEastAsia"/>
          <w:spacing w:val="-1"/>
          <w:sz w:val="23"/>
          <w:szCs w:val="23"/>
        </w:rPr>
      </w:pPr>
      <w:r>
        <w:rPr>
          <w:rFonts w:hint="eastAsia" w:asciiTheme="majorEastAsia" w:hAnsiTheme="majorEastAsia" w:eastAsiaTheme="majorEastAsia"/>
          <w:spacing w:val="-1"/>
          <w:sz w:val="23"/>
          <w:szCs w:val="23"/>
        </w:rPr>
        <w:t>（2）</w:t>
      </w:r>
      <w:r>
        <w:rPr>
          <w:rFonts w:asciiTheme="majorEastAsia" w:hAnsiTheme="majorEastAsia" w:eastAsiaTheme="majorEastAsia"/>
          <w:spacing w:val="-1"/>
          <w:sz w:val="23"/>
          <w:szCs w:val="23"/>
        </w:rPr>
        <w:t>按</w:t>
      </w:r>
      <w:r>
        <w:rPr>
          <w:rFonts w:asciiTheme="majorEastAsia" w:hAnsiTheme="majorEastAsia" w:eastAsiaTheme="majorEastAsia"/>
          <w:sz w:val="23"/>
          <w:szCs w:val="23"/>
        </w:rPr>
        <w:t>评标办法前附表</w:t>
      </w:r>
      <w:r>
        <w:rPr>
          <w:rFonts w:asciiTheme="majorEastAsia" w:hAnsiTheme="majorEastAsia" w:eastAsiaTheme="majorEastAsia"/>
          <w:spacing w:val="-1"/>
          <w:sz w:val="23"/>
          <w:szCs w:val="23"/>
        </w:rPr>
        <w:t>规定的评审因素和分值对工作大纲部分计算出得分 B；</w:t>
      </w:r>
    </w:p>
    <w:p>
      <w:pPr>
        <w:pStyle w:val="13"/>
        <w:spacing w:line="360" w:lineRule="auto"/>
        <w:ind w:firstLine="456" w:firstLineChars="200"/>
        <w:rPr>
          <w:rFonts w:asciiTheme="majorEastAsia" w:hAnsiTheme="majorEastAsia" w:eastAsiaTheme="majorEastAsia"/>
          <w:spacing w:val="-1"/>
          <w:sz w:val="23"/>
          <w:szCs w:val="23"/>
        </w:rPr>
      </w:pPr>
      <w:r>
        <w:rPr>
          <w:rFonts w:hint="eastAsia" w:asciiTheme="majorEastAsia" w:hAnsiTheme="majorEastAsia" w:eastAsiaTheme="majorEastAsia"/>
          <w:spacing w:val="-1"/>
          <w:sz w:val="23"/>
          <w:szCs w:val="23"/>
        </w:rPr>
        <w:t>（3）</w:t>
      </w:r>
      <w:r>
        <w:rPr>
          <w:rFonts w:asciiTheme="majorEastAsia" w:hAnsiTheme="majorEastAsia" w:eastAsiaTheme="majorEastAsia"/>
          <w:spacing w:val="-1"/>
          <w:sz w:val="23"/>
          <w:szCs w:val="23"/>
        </w:rPr>
        <w:t>按</w:t>
      </w:r>
      <w:r>
        <w:rPr>
          <w:rFonts w:asciiTheme="majorEastAsia" w:hAnsiTheme="majorEastAsia" w:eastAsiaTheme="majorEastAsia"/>
          <w:sz w:val="23"/>
          <w:szCs w:val="23"/>
        </w:rPr>
        <w:t>评标办法前附表</w:t>
      </w:r>
      <w:r>
        <w:rPr>
          <w:rFonts w:asciiTheme="majorEastAsia" w:hAnsiTheme="majorEastAsia" w:eastAsiaTheme="majorEastAsia"/>
          <w:spacing w:val="-1"/>
          <w:sz w:val="23"/>
          <w:szCs w:val="23"/>
        </w:rPr>
        <w:t>规定的评审因素和分值对投标报价计算出得分 C；</w:t>
      </w:r>
    </w:p>
    <w:p>
      <w:pPr>
        <w:pStyle w:val="13"/>
        <w:spacing w:line="360" w:lineRule="auto"/>
        <w:ind w:firstLine="456" w:firstLineChars="200"/>
        <w:rPr>
          <w:rFonts w:asciiTheme="majorEastAsia" w:hAnsiTheme="majorEastAsia" w:eastAsiaTheme="majorEastAsia"/>
          <w:spacing w:val="-1"/>
          <w:sz w:val="23"/>
          <w:szCs w:val="23"/>
        </w:rPr>
      </w:pPr>
      <w:r>
        <w:rPr>
          <w:rFonts w:hint="eastAsia" w:asciiTheme="majorEastAsia" w:hAnsiTheme="majorEastAsia" w:eastAsiaTheme="majorEastAsia"/>
          <w:spacing w:val="-1"/>
          <w:sz w:val="23"/>
          <w:szCs w:val="23"/>
        </w:rPr>
        <w:t>（4）</w:t>
      </w:r>
      <w:r>
        <w:rPr>
          <w:rFonts w:asciiTheme="majorEastAsia" w:hAnsiTheme="majorEastAsia" w:eastAsiaTheme="majorEastAsia"/>
          <w:spacing w:val="-1"/>
          <w:sz w:val="23"/>
          <w:szCs w:val="23"/>
        </w:rPr>
        <w:t>按</w:t>
      </w:r>
      <w:r>
        <w:rPr>
          <w:rFonts w:asciiTheme="majorEastAsia" w:hAnsiTheme="majorEastAsia" w:eastAsiaTheme="majorEastAsia"/>
          <w:sz w:val="23"/>
          <w:szCs w:val="23"/>
        </w:rPr>
        <w:t>评标办法前附表</w:t>
      </w:r>
      <w:r>
        <w:rPr>
          <w:rFonts w:asciiTheme="majorEastAsia" w:hAnsiTheme="majorEastAsia" w:eastAsiaTheme="majorEastAsia"/>
          <w:spacing w:val="-1"/>
          <w:sz w:val="23"/>
          <w:szCs w:val="23"/>
        </w:rPr>
        <w:t>规定的评审因素和分值对其他部分计算出得分 D。</w:t>
      </w:r>
    </w:p>
    <w:p>
      <w:pPr>
        <w:pStyle w:val="27"/>
        <w:numPr>
          <w:ilvl w:val="4"/>
          <w:numId w:val="17"/>
        </w:numPr>
        <w:tabs>
          <w:tab w:val="left" w:pos="1239"/>
        </w:tabs>
        <w:spacing w:line="360" w:lineRule="auto"/>
        <w:ind w:left="0" w:firstLine="200"/>
        <w:rPr>
          <w:rFonts w:asciiTheme="majorEastAsia" w:hAnsiTheme="majorEastAsia" w:eastAsiaTheme="majorEastAsia"/>
          <w:sz w:val="23"/>
          <w:szCs w:val="23"/>
        </w:rPr>
      </w:pPr>
      <w:r>
        <w:rPr>
          <w:rFonts w:asciiTheme="majorEastAsia" w:hAnsiTheme="majorEastAsia" w:eastAsiaTheme="majorEastAsia"/>
          <w:spacing w:val="-5"/>
          <w:sz w:val="23"/>
          <w:szCs w:val="23"/>
        </w:rPr>
        <w:t>评分分值计算保留小数点后两位，小数点后第三位“四舍五入”。</w:t>
      </w:r>
    </w:p>
    <w:p>
      <w:pPr>
        <w:pStyle w:val="27"/>
        <w:numPr>
          <w:ilvl w:val="4"/>
          <w:numId w:val="17"/>
        </w:numPr>
        <w:tabs>
          <w:tab w:val="left" w:pos="1239"/>
        </w:tabs>
        <w:spacing w:line="360" w:lineRule="auto"/>
        <w:ind w:left="0" w:firstLine="200"/>
        <w:rPr>
          <w:rFonts w:asciiTheme="majorEastAsia" w:hAnsiTheme="majorEastAsia" w:eastAsiaTheme="majorEastAsia"/>
          <w:sz w:val="23"/>
          <w:szCs w:val="23"/>
        </w:rPr>
      </w:pPr>
      <w:r>
        <w:rPr>
          <w:rFonts w:asciiTheme="majorEastAsia" w:hAnsiTheme="majorEastAsia" w:eastAsiaTheme="majorEastAsia"/>
          <w:sz w:val="23"/>
          <w:szCs w:val="23"/>
        </w:rPr>
        <w:t>投标人得分=A+B+C+D。</w:t>
      </w:r>
    </w:p>
    <w:p>
      <w:pPr>
        <w:pStyle w:val="27"/>
        <w:numPr>
          <w:ilvl w:val="4"/>
          <w:numId w:val="17"/>
        </w:numPr>
        <w:tabs>
          <w:tab w:val="left" w:pos="1239"/>
        </w:tabs>
        <w:spacing w:line="360" w:lineRule="auto"/>
        <w:ind w:left="0" w:firstLine="200"/>
        <w:jc w:val="both"/>
        <w:rPr>
          <w:rFonts w:asciiTheme="majorEastAsia" w:hAnsiTheme="majorEastAsia" w:eastAsiaTheme="majorEastAsia"/>
          <w:sz w:val="23"/>
          <w:szCs w:val="23"/>
        </w:rPr>
      </w:pPr>
      <w:r>
        <w:rPr>
          <w:rFonts w:asciiTheme="majorEastAsia" w:hAnsiTheme="majorEastAsia" w:eastAsiaTheme="majorEastAsia"/>
          <w:spacing w:val="-1"/>
          <w:sz w:val="23"/>
          <w:szCs w:val="23"/>
        </w:rPr>
        <w:t>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w:t>
      </w:r>
      <w:r>
        <w:rPr>
          <w:rFonts w:asciiTheme="majorEastAsia" w:hAnsiTheme="majorEastAsia" w:eastAsiaTheme="majorEastAsia"/>
          <w:sz w:val="23"/>
          <w:szCs w:val="23"/>
        </w:rPr>
        <w:t>本报价竞标，并否决其投标。</w:t>
      </w:r>
    </w:p>
    <w:p>
      <w:pPr>
        <w:pStyle w:val="27"/>
        <w:numPr>
          <w:ilvl w:val="4"/>
          <w:numId w:val="17"/>
        </w:numPr>
        <w:tabs>
          <w:tab w:val="left" w:pos="1239"/>
        </w:tabs>
        <w:spacing w:line="360" w:lineRule="auto"/>
        <w:ind w:left="0" w:firstLine="200"/>
        <w:jc w:val="both"/>
        <w:rPr>
          <w:rFonts w:asciiTheme="majorEastAsia" w:hAnsiTheme="majorEastAsia" w:eastAsiaTheme="majorEastAsia"/>
          <w:spacing w:val="-1"/>
          <w:sz w:val="23"/>
          <w:szCs w:val="23"/>
        </w:rPr>
      </w:pPr>
      <w:r>
        <w:rPr>
          <w:rFonts w:asciiTheme="majorEastAsia" w:hAnsiTheme="majorEastAsia" w:eastAsiaTheme="majorEastAsia"/>
          <w:spacing w:val="-1"/>
          <w:sz w:val="23"/>
          <w:szCs w:val="23"/>
        </w:rPr>
        <w:t>评委应独立对各投标文件进行评分，投标人技术部分得分为各分项得分之和，各分项得分分别为各评委的该项评分的算术平均值（如评标委员会人数为7人及以上时，则去掉一个最高值和一个最低值）。投标人综合得分即为技术部分与报价评审得分之和。各计算结果均保留至小数点后两位。</w:t>
      </w:r>
    </w:p>
    <w:p>
      <w:pPr>
        <w:pStyle w:val="27"/>
        <w:numPr>
          <w:ilvl w:val="3"/>
          <w:numId w:val="17"/>
        </w:numPr>
        <w:tabs>
          <w:tab w:val="left" w:pos="698"/>
        </w:tabs>
        <w:spacing w:line="360" w:lineRule="auto"/>
        <w:ind w:left="0" w:firstLine="200"/>
        <w:rPr>
          <w:rFonts w:asciiTheme="majorEastAsia" w:hAnsiTheme="majorEastAsia" w:eastAsiaTheme="majorEastAsia"/>
          <w:b/>
          <w:sz w:val="23"/>
          <w:szCs w:val="23"/>
        </w:rPr>
      </w:pPr>
      <w:r>
        <w:rPr>
          <w:rFonts w:hint="eastAsia" w:asciiTheme="majorEastAsia" w:hAnsiTheme="majorEastAsia" w:eastAsiaTheme="majorEastAsia"/>
          <w:b/>
          <w:sz w:val="23"/>
          <w:szCs w:val="23"/>
        </w:rPr>
        <w:t>投标文件的澄清</w:t>
      </w:r>
    </w:p>
    <w:p>
      <w:pPr>
        <w:pStyle w:val="13"/>
        <w:spacing w:line="360" w:lineRule="auto"/>
        <w:ind w:firstLine="200"/>
        <w:jc w:val="both"/>
        <w:rPr>
          <w:rFonts w:asciiTheme="majorEastAsia" w:hAnsiTheme="majorEastAsia" w:eastAsiaTheme="majorEastAsia"/>
          <w:sz w:val="23"/>
          <w:szCs w:val="23"/>
        </w:rPr>
      </w:pPr>
      <w:r>
        <w:rPr>
          <w:rFonts w:asciiTheme="majorEastAsia" w:hAnsiTheme="majorEastAsia" w:eastAsiaTheme="majorEastAsia"/>
          <w:sz w:val="23"/>
          <w:szCs w:val="23"/>
        </w:rPr>
        <w:t xml:space="preserve">     3.3.1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pStyle w:val="27"/>
        <w:numPr>
          <w:ilvl w:val="2"/>
          <w:numId w:val="23"/>
        </w:numPr>
        <w:tabs>
          <w:tab w:val="left" w:pos="1359"/>
        </w:tabs>
        <w:spacing w:line="360" w:lineRule="auto"/>
        <w:ind w:left="0" w:firstLine="200"/>
        <w:rPr>
          <w:rFonts w:asciiTheme="majorEastAsia" w:hAnsiTheme="majorEastAsia" w:eastAsiaTheme="majorEastAsia"/>
          <w:sz w:val="23"/>
          <w:szCs w:val="23"/>
        </w:rPr>
      </w:pPr>
      <w:r>
        <w:rPr>
          <w:rFonts w:asciiTheme="majorEastAsia" w:hAnsiTheme="majorEastAsia" w:eastAsiaTheme="majorEastAsia"/>
          <w:spacing w:val="-1"/>
          <w:sz w:val="23"/>
          <w:szCs w:val="23"/>
        </w:rPr>
        <w:t>澄清、说明或补正不得超出投标文件的范围且不得改变投标文件的实质性内</w:t>
      </w:r>
      <w:r>
        <w:rPr>
          <w:rFonts w:asciiTheme="majorEastAsia" w:hAnsiTheme="majorEastAsia" w:eastAsiaTheme="majorEastAsia"/>
          <w:sz w:val="23"/>
          <w:szCs w:val="23"/>
        </w:rPr>
        <w:t>容，并构成投标文件的组成部分。</w:t>
      </w:r>
    </w:p>
    <w:p>
      <w:pPr>
        <w:pStyle w:val="27"/>
        <w:numPr>
          <w:ilvl w:val="2"/>
          <w:numId w:val="23"/>
        </w:numPr>
        <w:tabs>
          <w:tab w:val="left" w:pos="1359"/>
        </w:tabs>
        <w:spacing w:line="360" w:lineRule="auto"/>
        <w:ind w:left="0" w:firstLine="200"/>
        <w:rPr>
          <w:rFonts w:asciiTheme="majorEastAsia" w:hAnsiTheme="majorEastAsia" w:eastAsiaTheme="majorEastAsia"/>
          <w:sz w:val="23"/>
          <w:szCs w:val="23"/>
        </w:rPr>
      </w:pPr>
      <w:r>
        <w:rPr>
          <w:rFonts w:asciiTheme="majorEastAsia" w:hAnsiTheme="majorEastAsia" w:eastAsiaTheme="majorEastAsia"/>
          <w:spacing w:val="-1"/>
          <w:sz w:val="23"/>
          <w:szCs w:val="23"/>
        </w:rPr>
        <w:t>评标委员会对投标人提交的澄清、说明或补正有疑问的，可以要求投标人进</w:t>
      </w:r>
      <w:r>
        <w:rPr>
          <w:rFonts w:asciiTheme="majorEastAsia" w:hAnsiTheme="majorEastAsia" w:eastAsiaTheme="majorEastAsia"/>
          <w:sz w:val="23"/>
          <w:szCs w:val="23"/>
        </w:rPr>
        <w:t>一步澄清、说明或补正，直至满足评标委员会的要求。</w:t>
      </w:r>
    </w:p>
    <w:p>
      <w:pPr>
        <w:pStyle w:val="10"/>
        <w:numPr>
          <w:ilvl w:val="3"/>
          <w:numId w:val="17"/>
        </w:numPr>
        <w:tabs>
          <w:tab w:val="left" w:pos="639"/>
        </w:tabs>
        <w:spacing w:line="360" w:lineRule="auto"/>
        <w:ind w:left="0" w:firstLine="200"/>
        <w:rPr>
          <w:rFonts w:asciiTheme="majorEastAsia" w:hAnsiTheme="majorEastAsia" w:eastAsiaTheme="majorEastAsia"/>
          <w:sz w:val="23"/>
          <w:szCs w:val="23"/>
          <w:u w:val="none"/>
        </w:rPr>
      </w:pPr>
      <w:r>
        <w:rPr>
          <w:rFonts w:asciiTheme="majorEastAsia" w:hAnsiTheme="majorEastAsia" w:eastAsiaTheme="majorEastAsia"/>
          <w:sz w:val="23"/>
          <w:szCs w:val="23"/>
          <w:u w:val="none"/>
        </w:rPr>
        <w:t>评标结果</w:t>
      </w:r>
    </w:p>
    <w:p>
      <w:pPr>
        <w:pStyle w:val="27"/>
        <w:numPr>
          <w:ilvl w:val="4"/>
          <w:numId w:val="17"/>
        </w:numPr>
        <w:tabs>
          <w:tab w:val="left" w:pos="1359"/>
        </w:tabs>
        <w:spacing w:line="360" w:lineRule="auto"/>
        <w:ind w:left="0" w:firstLine="200"/>
        <w:rPr>
          <w:rFonts w:asciiTheme="majorEastAsia" w:hAnsiTheme="majorEastAsia" w:eastAsiaTheme="majorEastAsia"/>
          <w:sz w:val="23"/>
          <w:szCs w:val="23"/>
        </w:rPr>
      </w:pPr>
      <w:r>
        <w:rPr>
          <w:rFonts w:asciiTheme="majorEastAsia" w:hAnsiTheme="majorEastAsia" w:eastAsiaTheme="majorEastAsia"/>
          <w:spacing w:val="-1"/>
          <w:sz w:val="23"/>
          <w:szCs w:val="23"/>
        </w:rPr>
        <w:t>除第二章“投标人须知”前附表授权直接确定中标人外，评标委员会按照得</w:t>
      </w:r>
      <w:r>
        <w:rPr>
          <w:rFonts w:asciiTheme="majorEastAsia" w:hAnsiTheme="majorEastAsia" w:eastAsiaTheme="majorEastAsia"/>
          <w:sz w:val="23"/>
          <w:szCs w:val="23"/>
        </w:rPr>
        <w:t>分由高到低的顺序推荐中标候选人，并标明排序。</w:t>
      </w:r>
    </w:p>
    <w:p>
      <w:pPr>
        <w:pStyle w:val="27"/>
        <w:numPr>
          <w:ilvl w:val="4"/>
          <w:numId w:val="17"/>
        </w:numPr>
        <w:tabs>
          <w:tab w:val="left" w:pos="1359"/>
        </w:tabs>
        <w:spacing w:line="360" w:lineRule="auto"/>
        <w:ind w:left="0" w:firstLine="200"/>
        <w:rPr>
          <w:rFonts w:asciiTheme="majorEastAsia" w:hAnsiTheme="majorEastAsia" w:eastAsiaTheme="majorEastAsia"/>
          <w:sz w:val="23"/>
          <w:szCs w:val="23"/>
        </w:rPr>
      </w:pPr>
      <w:r>
        <w:rPr>
          <w:rFonts w:asciiTheme="majorEastAsia" w:hAnsiTheme="majorEastAsia" w:eastAsiaTheme="majorEastAsia"/>
          <w:spacing w:val="-1"/>
          <w:sz w:val="23"/>
          <w:szCs w:val="23"/>
        </w:rPr>
        <w:t>如果评标委员会认为在评标过程中有影响最终评标结果的不能确定的特殊问</w:t>
      </w:r>
      <w:r>
        <w:rPr>
          <w:rFonts w:asciiTheme="majorEastAsia" w:hAnsiTheme="majorEastAsia" w:eastAsiaTheme="majorEastAsia"/>
          <w:sz w:val="23"/>
          <w:szCs w:val="23"/>
        </w:rPr>
        <w:t>题，应在评标报告中记载，提请招标人审议决定。</w:t>
      </w:r>
    </w:p>
    <w:p>
      <w:pPr>
        <w:pStyle w:val="27"/>
        <w:numPr>
          <w:ilvl w:val="4"/>
          <w:numId w:val="17"/>
        </w:numPr>
        <w:tabs>
          <w:tab w:val="left" w:pos="1359"/>
        </w:tabs>
        <w:spacing w:line="360" w:lineRule="auto"/>
        <w:ind w:left="0" w:firstLine="200"/>
        <w:rPr>
          <w:rFonts w:asciiTheme="majorEastAsia" w:hAnsiTheme="majorEastAsia" w:eastAsiaTheme="majorEastAsia"/>
          <w:spacing w:val="-1"/>
          <w:sz w:val="23"/>
          <w:szCs w:val="23"/>
        </w:rPr>
      </w:pPr>
      <w:r>
        <w:rPr>
          <w:rFonts w:asciiTheme="majorEastAsia" w:hAnsiTheme="majorEastAsia" w:eastAsiaTheme="majorEastAsia"/>
          <w:spacing w:val="-1"/>
          <w:sz w:val="23"/>
          <w:szCs w:val="23"/>
        </w:rPr>
        <w:t>评标委员会完成评标后，应当向招标人提交书面评标报告和中标候选人名单。</w:t>
      </w:r>
    </w:p>
    <w:p>
      <w:pPr>
        <w:pStyle w:val="27"/>
        <w:numPr>
          <w:ilvl w:val="4"/>
          <w:numId w:val="17"/>
        </w:numPr>
        <w:tabs>
          <w:tab w:val="left" w:pos="1359"/>
        </w:tabs>
        <w:spacing w:before="77" w:line="343" w:lineRule="auto"/>
        <w:ind w:right="827" w:firstLine="480"/>
        <w:rPr>
          <w:spacing w:val="-1"/>
          <w:sz w:val="24"/>
        </w:rPr>
        <w:sectPr>
          <w:pgSz w:w="11910" w:h="16840"/>
          <w:pgMar w:top="1361" w:right="1474" w:bottom="1361" w:left="1474" w:header="720" w:footer="720" w:gutter="0"/>
          <w:cols w:space="720" w:num="1"/>
        </w:sectPr>
      </w:pPr>
    </w:p>
    <w:p>
      <w:pPr>
        <w:pStyle w:val="2"/>
        <w:spacing w:beforeLines="50" w:afterLines="50" w:line="578" w:lineRule="exact"/>
        <w:ind w:left="2835" w:right="3311"/>
        <w:rPr>
          <w:rFonts w:eastAsiaTheme="minorEastAsia"/>
        </w:rPr>
      </w:pPr>
      <w:bookmarkStart w:id="9" w:name="合同条款及格式"/>
      <w:bookmarkEnd w:id="9"/>
      <w:r>
        <w:t>合同</w:t>
      </w:r>
    </w:p>
    <w:p/>
    <w:p>
      <w:pPr>
        <w:keepNext/>
        <w:keepLines/>
        <w:autoSpaceDE/>
        <w:autoSpaceDN/>
        <w:adjustRightInd w:val="0"/>
        <w:snapToGrid w:val="0"/>
        <w:spacing w:before="120" w:line="360" w:lineRule="auto"/>
        <w:jc w:val="center"/>
        <w:outlineLvl w:val="1"/>
        <w:rPr>
          <w:rFonts w:ascii="Times New Roman" w:hAnsi="Times New Roman" w:eastAsia="黑体" w:cs="Times New Roman"/>
          <w:b/>
          <w:bCs/>
          <w:kern w:val="2"/>
          <w:sz w:val="32"/>
          <w:szCs w:val="32"/>
          <w:lang w:val="en-US" w:bidi="ar-SA"/>
        </w:rPr>
      </w:pPr>
      <w:bookmarkStart w:id="10" w:name="_Toc216001609"/>
      <w:bookmarkStart w:id="11" w:name="_Toc79813324"/>
      <w:bookmarkStart w:id="12" w:name="_Toc170180349"/>
      <w:bookmarkStart w:id="13" w:name="_Toc81380101"/>
      <w:bookmarkStart w:id="14" w:name="_Toc144542947"/>
      <w:bookmarkStart w:id="15" w:name="_Toc43024026"/>
      <w:bookmarkStart w:id="16" w:name="_Toc76194430"/>
      <w:r>
        <w:rPr>
          <w:rFonts w:ascii="Times New Roman" w:hAnsi="Times New Roman" w:eastAsia="黑体" w:cs="Times New Roman"/>
          <w:b/>
          <w:bCs/>
          <w:kern w:val="2"/>
          <w:sz w:val="32"/>
          <w:szCs w:val="32"/>
          <w:lang w:val="en-US" w:bidi="ar-SA"/>
        </w:rPr>
        <w:t>第一部分合同协议书</w:t>
      </w:r>
      <w:bookmarkEnd w:id="10"/>
    </w:p>
    <w:p>
      <w:pPr>
        <w:autoSpaceDE/>
        <w:autoSpaceDN/>
        <w:adjustRightInd w:val="0"/>
        <w:snapToGrid w:val="0"/>
        <w:spacing w:line="400" w:lineRule="exact"/>
        <w:ind w:firstLine="440" w:firstLineChars="200"/>
        <w:jc w:val="both"/>
      </w:pPr>
      <w:bookmarkStart w:id="17" w:name="_Toc181175469"/>
      <w:bookmarkStart w:id="18" w:name="_Toc216001610"/>
      <w:r>
        <w:t>本协议书由(以下简称“委托人”)为一方 ， 与 (以下简称“监测服务单位”)为另一方共同订立。 鉴于委托人已委托监测服务单位为项目标段提供沉降观测服务，并已接受了监测服务单位就此提出的投标文件，为明确双方在合同期间的义务、责任、权力和利益，兹就以下事项达成协议：</w:t>
      </w:r>
    </w:p>
    <w:p>
      <w:pPr>
        <w:autoSpaceDE/>
        <w:autoSpaceDN/>
        <w:adjustRightInd w:val="0"/>
        <w:snapToGrid w:val="0"/>
        <w:spacing w:line="400" w:lineRule="exact"/>
        <w:ind w:firstLine="440" w:firstLineChars="200"/>
        <w:jc w:val="both"/>
      </w:pPr>
      <w:r>
        <w:t xml:space="preserve">一、本协议书中的词句和用语与通用合同条款中规定的定义相同。 </w:t>
      </w:r>
    </w:p>
    <w:p>
      <w:pPr>
        <w:autoSpaceDE/>
        <w:autoSpaceDN/>
        <w:adjustRightInd w:val="0"/>
        <w:snapToGrid w:val="0"/>
        <w:spacing w:line="400" w:lineRule="exact"/>
        <w:ind w:firstLine="440" w:firstLineChars="200"/>
        <w:jc w:val="both"/>
      </w:pPr>
      <w:r>
        <w:t xml:space="preserve">二、下列文件是本协议书的组成部分，应作为协议书的有效内容予以遵守和执行。下列文件将互相补充，若有不明确或不一致之处，应以排序在前的文件为准。 </w:t>
      </w:r>
    </w:p>
    <w:p>
      <w:pPr>
        <w:autoSpaceDE/>
        <w:autoSpaceDN/>
        <w:adjustRightInd w:val="0"/>
        <w:snapToGrid w:val="0"/>
        <w:spacing w:line="400" w:lineRule="exact"/>
        <w:ind w:firstLine="440" w:firstLineChars="200"/>
        <w:jc w:val="both"/>
      </w:pPr>
      <w:r>
        <w:t xml:space="preserve">1、合同协议书及附件； </w:t>
      </w:r>
    </w:p>
    <w:p>
      <w:pPr>
        <w:autoSpaceDE/>
        <w:autoSpaceDN/>
        <w:adjustRightInd w:val="0"/>
        <w:snapToGrid w:val="0"/>
        <w:spacing w:line="400" w:lineRule="exact"/>
        <w:ind w:firstLine="440" w:firstLineChars="200"/>
        <w:jc w:val="both"/>
      </w:pPr>
      <w:r>
        <w:t xml:space="preserve">2、中标通知书； </w:t>
      </w:r>
    </w:p>
    <w:p>
      <w:pPr>
        <w:autoSpaceDE/>
        <w:autoSpaceDN/>
        <w:adjustRightInd w:val="0"/>
        <w:snapToGrid w:val="0"/>
        <w:spacing w:line="400" w:lineRule="exact"/>
        <w:ind w:firstLine="440" w:firstLineChars="200"/>
        <w:jc w:val="both"/>
      </w:pPr>
      <w:r>
        <w:t xml:space="preserve">3、投标函； </w:t>
      </w:r>
    </w:p>
    <w:p>
      <w:pPr>
        <w:autoSpaceDE/>
        <w:autoSpaceDN/>
        <w:adjustRightInd w:val="0"/>
        <w:snapToGrid w:val="0"/>
        <w:spacing w:line="400" w:lineRule="exact"/>
        <w:ind w:firstLine="440" w:firstLineChars="200"/>
        <w:jc w:val="both"/>
      </w:pPr>
      <w:r>
        <w:t>4、合同条款；</w:t>
      </w:r>
    </w:p>
    <w:p>
      <w:pPr>
        <w:autoSpaceDE/>
        <w:autoSpaceDN/>
        <w:adjustRightInd w:val="0"/>
        <w:snapToGrid w:val="0"/>
        <w:spacing w:line="400" w:lineRule="exact"/>
        <w:ind w:firstLine="440" w:firstLineChars="200"/>
        <w:jc w:val="both"/>
      </w:pPr>
      <w:r>
        <w:t xml:space="preserve">5、技术标准和要求； </w:t>
      </w:r>
    </w:p>
    <w:p>
      <w:pPr>
        <w:autoSpaceDE/>
        <w:autoSpaceDN/>
        <w:adjustRightInd w:val="0"/>
        <w:snapToGrid w:val="0"/>
        <w:spacing w:line="400" w:lineRule="exact"/>
        <w:ind w:firstLine="440" w:firstLineChars="200"/>
        <w:jc w:val="both"/>
      </w:pPr>
      <w:r>
        <w:t xml:space="preserve">6、报价清单； </w:t>
      </w:r>
    </w:p>
    <w:p>
      <w:pPr>
        <w:autoSpaceDE/>
        <w:autoSpaceDN/>
        <w:adjustRightInd w:val="0"/>
        <w:snapToGrid w:val="0"/>
        <w:spacing w:line="400" w:lineRule="exact"/>
        <w:ind w:firstLine="440" w:firstLineChars="200"/>
        <w:jc w:val="both"/>
      </w:pPr>
      <w:r>
        <w:t xml:space="preserve">7、其他合同文件。 </w:t>
      </w:r>
    </w:p>
    <w:p>
      <w:pPr>
        <w:autoSpaceDE/>
        <w:autoSpaceDN/>
        <w:adjustRightInd w:val="0"/>
        <w:snapToGrid w:val="0"/>
        <w:spacing w:line="400" w:lineRule="exact"/>
        <w:ind w:firstLine="440" w:firstLineChars="200"/>
        <w:jc w:val="both"/>
      </w:pPr>
      <w:r>
        <w:t xml:space="preserve">如果上述合同组成文件中同一类文件规定之间出现矛盾，应按时间顺序以最后编写或双方最后确认的文件为准。 </w:t>
      </w:r>
    </w:p>
    <w:p>
      <w:pPr>
        <w:autoSpaceDE/>
        <w:autoSpaceDN/>
        <w:adjustRightInd w:val="0"/>
        <w:snapToGrid w:val="0"/>
        <w:spacing w:line="400" w:lineRule="exact"/>
        <w:ind w:firstLine="440" w:firstLineChars="200"/>
        <w:jc w:val="both"/>
      </w:pPr>
      <w:r>
        <w:t>三、主要工作内容：</w:t>
      </w:r>
      <w:r>
        <w:rPr>
          <w:rFonts w:hint="eastAsia" w:asciiTheme="minorEastAsia" w:hAnsiTheme="minorEastAsia" w:eastAsiaTheme="minorEastAsia"/>
          <w:bCs/>
          <w:sz w:val="23"/>
          <w:szCs w:val="23"/>
        </w:rPr>
        <w:t>对南通港天生港区横港沙作业区码头、引桥、建</w:t>
      </w:r>
      <w:r>
        <w:rPr>
          <w:rFonts w:asciiTheme="minorEastAsia" w:hAnsiTheme="minorEastAsia" w:eastAsiaTheme="minorEastAsia"/>
          <w:bCs/>
          <w:sz w:val="23"/>
          <w:szCs w:val="23"/>
        </w:rPr>
        <w:t>(构)筑物、道路、堆场等进行沉降位移观测，陆域部分约为500个观测点，码头、引桥部分约为120个观测点。</w:t>
      </w:r>
    </w:p>
    <w:p>
      <w:pPr>
        <w:autoSpaceDE/>
        <w:autoSpaceDN/>
        <w:adjustRightInd w:val="0"/>
        <w:snapToGrid w:val="0"/>
        <w:spacing w:line="400" w:lineRule="exact"/>
        <w:ind w:firstLine="440" w:firstLineChars="200"/>
        <w:jc w:val="both"/>
      </w:pPr>
      <w:r>
        <w:t>四、项目负责人为</w:t>
      </w:r>
      <w:r>
        <w:rPr>
          <w:rFonts w:hint="eastAsia"/>
        </w:rPr>
        <w:t>，其他人员见附表。</w:t>
      </w:r>
    </w:p>
    <w:p>
      <w:pPr>
        <w:autoSpaceDE/>
        <w:autoSpaceDN/>
        <w:adjustRightInd w:val="0"/>
        <w:snapToGrid w:val="0"/>
        <w:spacing w:line="400" w:lineRule="exact"/>
        <w:ind w:firstLine="440" w:firstLineChars="200"/>
        <w:jc w:val="both"/>
      </w:pPr>
      <w:r>
        <w:t>五、本合同计划服务期</w:t>
      </w:r>
      <w:r>
        <w:rPr>
          <w:rFonts w:hint="eastAsia"/>
        </w:rPr>
        <w:t>：</w:t>
      </w:r>
      <w:r>
        <w:rPr>
          <w:rFonts w:hint="eastAsia" w:asciiTheme="minorEastAsia" w:hAnsiTheme="minorEastAsia" w:eastAsiaTheme="minorEastAsia"/>
          <w:bCs/>
          <w:sz w:val="23"/>
          <w:szCs w:val="23"/>
        </w:rPr>
        <w:t>合同签订后一年，每季度监测一次。</w:t>
      </w:r>
    </w:p>
    <w:p>
      <w:pPr>
        <w:autoSpaceDE/>
        <w:autoSpaceDN/>
        <w:adjustRightInd w:val="0"/>
        <w:snapToGrid w:val="0"/>
        <w:spacing w:line="400" w:lineRule="exact"/>
        <w:ind w:firstLine="440" w:firstLineChars="200"/>
        <w:jc w:val="both"/>
      </w:pPr>
      <w:r>
        <w:t>六、签约合同价：人民币（RMB元）</w:t>
      </w:r>
      <w:r>
        <w:rPr>
          <w:rFonts w:hint="eastAsia"/>
        </w:rPr>
        <w:t>，为总</w:t>
      </w:r>
      <w:r>
        <w:t>价</w:t>
      </w:r>
      <w:r>
        <w:rPr>
          <w:rFonts w:hint="eastAsia"/>
        </w:rPr>
        <w:t>承包</w:t>
      </w:r>
      <w:r>
        <w:t>合同</w:t>
      </w:r>
      <w:r>
        <w:rPr>
          <w:rFonts w:hint="eastAsia"/>
        </w:rPr>
        <w:t>（其中增值税税率为</w:t>
      </w:r>
      <w:r>
        <w:t>%</w:t>
      </w:r>
      <w:r>
        <w:rPr>
          <w:rFonts w:hint="eastAsia"/>
        </w:rPr>
        <w:t>）</w:t>
      </w:r>
      <w:r>
        <w:t xml:space="preserve">。 </w:t>
      </w:r>
    </w:p>
    <w:p>
      <w:pPr>
        <w:autoSpaceDE/>
        <w:autoSpaceDN/>
        <w:adjustRightInd w:val="0"/>
        <w:snapToGrid w:val="0"/>
        <w:spacing w:line="400" w:lineRule="exact"/>
        <w:ind w:firstLine="440" w:firstLineChars="200"/>
        <w:jc w:val="both"/>
      </w:pPr>
      <w:r>
        <w:t>七、</w:t>
      </w:r>
      <w:r>
        <w:rPr>
          <w:rFonts w:hint="eastAsia"/>
        </w:rPr>
        <w:t>合同支付方式：</w:t>
      </w:r>
      <w:r>
        <w:t>沉降观测费用每半年支付一次，</w:t>
      </w:r>
      <w:r>
        <w:rPr>
          <w:rFonts w:hint="eastAsia"/>
        </w:rPr>
        <w:t>经发包人确定监测服务单位已完成相应工作后，每</w:t>
      </w:r>
      <w:r>
        <w:t>次支付</w:t>
      </w:r>
      <w:r>
        <w:rPr>
          <w:rFonts w:hint="eastAsia"/>
        </w:rPr>
        <w:t>合同价</w:t>
      </w:r>
      <w:r>
        <w:t>50％的费用。</w:t>
      </w:r>
      <w:r>
        <w:rPr>
          <w:rFonts w:hint="eastAsia"/>
        </w:rPr>
        <w:t>最后一次支付时，监测成果需通过委托人委托的专家组评审</w:t>
      </w:r>
      <w:r>
        <w:t>。</w:t>
      </w:r>
    </w:p>
    <w:p>
      <w:pPr>
        <w:autoSpaceDE/>
        <w:autoSpaceDN/>
        <w:adjustRightInd w:val="0"/>
        <w:snapToGrid w:val="0"/>
        <w:spacing w:line="400" w:lineRule="exact"/>
        <w:ind w:firstLine="440" w:firstLineChars="200"/>
        <w:jc w:val="both"/>
      </w:pPr>
      <w:r>
        <w:t xml:space="preserve">八、监测服务单位基于委托人的上述保证，在此向委托人承诺按照本沉降观测合同的规定履行沉降观测服务。 </w:t>
      </w:r>
    </w:p>
    <w:p>
      <w:pPr>
        <w:autoSpaceDE/>
        <w:autoSpaceDN/>
        <w:adjustRightInd w:val="0"/>
        <w:snapToGrid w:val="0"/>
        <w:spacing w:line="400" w:lineRule="exact"/>
        <w:ind w:firstLine="440" w:firstLineChars="200"/>
        <w:jc w:val="both"/>
      </w:pPr>
      <w:r>
        <w:t xml:space="preserve">九、本协议书在监测服务单位提供履约担保后，由双方法定代表人或其委托代理人签署与加盖单位章后生效，至双方按照沉降观测合同的规定履行完各自的义务和责任后自然失效。 </w:t>
      </w:r>
    </w:p>
    <w:p>
      <w:pPr>
        <w:autoSpaceDE/>
        <w:autoSpaceDN/>
        <w:adjustRightInd w:val="0"/>
        <w:snapToGrid w:val="0"/>
        <w:spacing w:line="400" w:lineRule="exact"/>
        <w:ind w:firstLine="440" w:firstLineChars="200"/>
        <w:jc w:val="both"/>
      </w:pPr>
      <w:r>
        <w:t>十、本协议书正本</w:t>
      </w:r>
      <w:r>
        <w:rPr>
          <w:rFonts w:hint="eastAsia"/>
        </w:rPr>
        <w:t>二</w:t>
      </w:r>
      <w:r>
        <w:t>份、副本</w:t>
      </w:r>
      <w:r>
        <w:rPr>
          <w:rFonts w:hint="eastAsia"/>
        </w:rPr>
        <w:t>四</w:t>
      </w:r>
      <w:r>
        <w:t>份，合同</w:t>
      </w:r>
      <w:r>
        <w:rPr>
          <w:rFonts w:hint="eastAsia"/>
        </w:rPr>
        <w:t>双</w:t>
      </w:r>
      <w:r>
        <w:t>方各执正本一份，副本</w:t>
      </w:r>
      <w:r>
        <w:rPr>
          <w:rFonts w:hint="eastAsia"/>
        </w:rPr>
        <w:t>二</w:t>
      </w:r>
      <w:r>
        <w:t xml:space="preserve">份，当正本与副本的内容不一致时，以正本为准。 </w:t>
      </w:r>
    </w:p>
    <w:p>
      <w:pPr>
        <w:autoSpaceDE/>
        <w:autoSpaceDN/>
        <w:adjustRightInd w:val="0"/>
        <w:snapToGrid w:val="0"/>
        <w:spacing w:line="400" w:lineRule="exact"/>
        <w:ind w:firstLine="440" w:firstLineChars="200"/>
        <w:jc w:val="both"/>
      </w:pPr>
      <w:r>
        <w:t>十一、合同未尽事宜，双方另行签订补充协议。补充协议是合同的组成部分</w:t>
      </w:r>
      <w:r>
        <w:rPr>
          <w:rFonts w:hint="eastAsia"/>
        </w:rPr>
        <w:t>。</w:t>
      </w:r>
    </w:p>
    <w:p>
      <w:pPr>
        <w:autoSpaceDE/>
        <w:autoSpaceDN/>
        <w:adjustRightInd w:val="0"/>
        <w:snapToGrid w:val="0"/>
        <w:spacing w:line="400" w:lineRule="exact"/>
        <w:ind w:firstLine="420" w:firstLineChars="200"/>
        <w:jc w:val="both"/>
        <w:rPr>
          <w:rFonts w:cs="Times New Roman"/>
          <w:snapToGrid w:val="0"/>
          <w:sz w:val="21"/>
          <w:szCs w:val="21"/>
          <w:lang w:val="en-US" w:bidi="ar-SA"/>
        </w:rPr>
      </w:pPr>
    </w:p>
    <w:p>
      <w:pPr>
        <w:autoSpaceDE/>
        <w:autoSpaceDN/>
        <w:adjustRightInd w:val="0"/>
        <w:snapToGrid w:val="0"/>
        <w:spacing w:line="360" w:lineRule="auto"/>
        <w:ind w:firstLine="376" w:firstLineChars="171"/>
        <w:jc w:val="both"/>
        <w:rPr>
          <w:rFonts w:cs="Times New Roman"/>
          <w:snapToGrid w:val="0"/>
          <w:sz w:val="21"/>
          <w:szCs w:val="21"/>
          <w:lang w:val="en-US" w:bidi="ar-SA"/>
        </w:rPr>
      </w:pPr>
      <w:r>
        <w:t>委托人</w:t>
      </w:r>
      <w:r>
        <w:rPr>
          <w:rFonts w:cs="Times New Roman"/>
          <w:kern w:val="2"/>
          <w:sz w:val="21"/>
          <w:szCs w:val="21"/>
          <w:lang w:val="en-US" w:bidi="ar-SA"/>
        </w:rPr>
        <w:t>(</w:t>
      </w:r>
      <w:r>
        <w:rPr>
          <w:rFonts w:hint="eastAsia" w:cs="Times New Roman"/>
          <w:kern w:val="2"/>
          <w:sz w:val="21"/>
          <w:szCs w:val="21"/>
          <w:lang w:val="en-US" w:bidi="ar-SA"/>
        </w:rPr>
        <w:t>盖章</w:t>
      </w:r>
      <w:r>
        <w:rPr>
          <w:rFonts w:cs="Times New Roman"/>
          <w:kern w:val="2"/>
          <w:sz w:val="21"/>
          <w:szCs w:val="21"/>
          <w:lang w:val="en-US" w:bidi="ar-SA"/>
        </w:rPr>
        <w:t>)</w:t>
      </w:r>
      <w:r>
        <w:rPr>
          <w:rFonts w:hint="eastAsia" w:cs="Times New Roman"/>
          <w:kern w:val="2"/>
          <w:sz w:val="21"/>
          <w:szCs w:val="21"/>
          <w:lang w:val="en-US" w:bidi="ar-SA"/>
        </w:rPr>
        <w:t>:</w:t>
      </w:r>
      <w:r>
        <w:t>监测服务单位</w:t>
      </w:r>
      <w:r>
        <w:rPr>
          <w:rFonts w:cs="Times New Roman"/>
          <w:kern w:val="2"/>
          <w:sz w:val="21"/>
          <w:szCs w:val="21"/>
          <w:lang w:val="en-US" w:bidi="ar-SA"/>
        </w:rPr>
        <w:t xml:space="preserve"> (</w:t>
      </w:r>
      <w:r>
        <w:rPr>
          <w:rFonts w:hint="eastAsia" w:cs="Times New Roman"/>
          <w:kern w:val="2"/>
          <w:sz w:val="21"/>
          <w:szCs w:val="21"/>
          <w:lang w:val="en-US" w:bidi="ar-SA"/>
        </w:rPr>
        <w:t>盖章</w:t>
      </w:r>
      <w:r>
        <w:rPr>
          <w:rFonts w:cs="Times New Roman"/>
          <w:kern w:val="2"/>
          <w:sz w:val="21"/>
          <w:szCs w:val="21"/>
          <w:lang w:val="en-US" w:bidi="ar-SA"/>
        </w:rPr>
        <w:t>)</w:t>
      </w:r>
      <w:r>
        <w:rPr>
          <w:rFonts w:hint="eastAsia" w:cs="Times New Roman"/>
          <w:snapToGrid w:val="0"/>
          <w:sz w:val="21"/>
          <w:szCs w:val="21"/>
          <w:lang w:val="en-US" w:bidi="ar-SA"/>
        </w:rPr>
        <w:t xml:space="preserve"> ： </w:t>
      </w:r>
    </w:p>
    <w:p>
      <w:pPr>
        <w:autoSpaceDE/>
        <w:autoSpaceDN/>
        <w:adjustRightInd w:val="0"/>
        <w:snapToGrid w:val="0"/>
        <w:spacing w:line="360" w:lineRule="auto"/>
        <w:ind w:firstLine="357" w:firstLineChars="170"/>
        <w:jc w:val="both"/>
        <w:rPr>
          <w:rFonts w:cs="Times New Roman"/>
          <w:snapToGrid w:val="0"/>
          <w:sz w:val="21"/>
          <w:szCs w:val="21"/>
          <w:lang w:val="en-US" w:bidi="ar-SA"/>
        </w:rPr>
      </w:pPr>
      <w:r>
        <w:rPr>
          <w:rFonts w:hint="eastAsia" w:cs="Times New Roman"/>
          <w:snapToGrid w:val="0"/>
          <w:sz w:val="21"/>
          <w:szCs w:val="21"/>
          <w:lang w:val="en-US" w:bidi="ar-SA"/>
        </w:rPr>
        <w:t xml:space="preserve">法 人 代 表                             法 人 代 表  </w:t>
      </w:r>
    </w:p>
    <w:p>
      <w:pPr>
        <w:autoSpaceDE/>
        <w:autoSpaceDN/>
        <w:adjustRightInd w:val="0"/>
        <w:snapToGrid w:val="0"/>
        <w:spacing w:line="360" w:lineRule="auto"/>
        <w:ind w:firstLine="359" w:firstLineChars="171"/>
        <w:jc w:val="both"/>
        <w:rPr>
          <w:rFonts w:cs="Times New Roman"/>
          <w:snapToGrid w:val="0"/>
          <w:sz w:val="21"/>
          <w:szCs w:val="21"/>
          <w:lang w:val="en-US" w:bidi="ar-SA"/>
        </w:rPr>
      </w:pPr>
      <w:r>
        <w:rPr>
          <w:rFonts w:hint="eastAsia" w:cs="Times New Roman"/>
          <w:snapToGrid w:val="0"/>
          <w:sz w:val="21"/>
          <w:szCs w:val="21"/>
          <w:lang w:val="en-US" w:bidi="ar-SA"/>
        </w:rPr>
        <w:t>或其委托代理人（签字）：                或其委托代理人（签字）：</w:t>
      </w:r>
    </w:p>
    <w:p>
      <w:pPr>
        <w:autoSpaceDE/>
        <w:autoSpaceDN/>
        <w:adjustRightInd w:val="0"/>
        <w:snapToGrid w:val="0"/>
        <w:spacing w:line="360" w:lineRule="auto"/>
        <w:ind w:firstLine="359" w:firstLineChars="171"/>
        <w:jc w:val="both"/>
        <w:rPr>
          <w:rFonts w:cs="Times New Roman"/>
          <w:snapToGrid w:val="0"/>
          <w:sz w:val="21"/>
          <w:szCs w:val="21"/>
          <w:lang w:val="en-US" w:bidi="ar-SA"/>
        </w:rPr>
      </w:pPr>
      <w:r>
        <w:rPr>
          <w:rFonts w:hint="eastAsia" w:cs="Times New Roman"/>
          <w:snapToGrid w:val="0"/>
          <w:sz w:val="21"/>
          <w:szCs w:val="21"/>
          <w:lang w:val="en-US" w:bidi="ar-SA"/>
        </w:rPr>
        <w:t>签约日期：年月日</w:t>
      </w:r>
    </w:p>
    <w:p>
      <w:pPr>
        <w:widowControl/>
        <w:autoSpaceDE/>
        <w:autoSpaceDN/>
        <w:rPr>
          <w:rFonts w:cs="Times New Roman"/>
          <w:b/>
          <w:bCs/>
          <w:snapToGrid w:val="0"/>
          <w:sz w:val="21"/>
          <w:szCs w:val="21"/>
          <w:lang w:val="en-US" w:bidi="ar-SA"/>
        </w:rPr>
      </w:pPr>
    </w:p>
    <w:p>
      <w:pPr>
        <w:widowControl/>
        <w:autoSpaceDE/>
        <w:autoSpaceDN/>
        <w:rPr>
          <w:rFonts w:cs="Times New Roman"/>
          <w:b/>
          <w:bCs/>
          <w:snapToGrid w:val="0"/>
          <w:sz w:val="21"/>
          <w:szCs w:val="21"/>
          <w:lang w:val="en-US" w:bidi="ar-SA"/>
        </w:rPr>
      </w:pPr>
    </w:p>
    <w:p>
      <w:pPr>
        <w:rPr>
          <w:rFonts w:cs="Times New Roman"/>
          <w:b/>
          <w:bCs/>
          <w:snapToGrid w:val="0"/>
          <w:sz w:val="32"/>
          <w:szCs w:val="32"/>
          <w:lang w:val="en-US" w:bidi="ar-SA"/>
        </w:rPr>
      </w:pPr>
      <w:r>
        <w:rPr>
          <w:rFonts w:hint="eastAsia" w:cs="Times New Roman"/>
          <w:b/>
          <w:bCs/>
          <w:snapToGrid w:val="0"/>
          <w:sz w:val="32"/>
          <w:szCs w:val="32"/>
          <w:lang w:val="en-US" w:bidi="ar-SA"/>
        </w:rPr>
        <w:br w:type="page"/>
      </w:r>
    </w:p>
    <w:p>
      <w:pPr>
        <w:widowControl/>
        <w:autoSpaceDE/>
        <w:autoSpaceDN/>
        <w:rPr>
          <w:rFonts w:cs="Times New Roman"/>
          <w:b/>
          <w:bCs/>
          <w:snapToGrid w:val="0"/>
          <w:sz w:val="32"/>
          <w:szCs w:val="32"/>
          <w:lang w:val="en-US" w:bidi="ar-SA"/>
        </w:rPr>
      </w:pPr>
      <w:r>
        <w:rPr>
          <w:rFonts w:hint="eastAsia" w:cs="Times New Roman"/>
          <w:b/>
          <w:bCs/>
          <w:snapToGrid w:val="0"/>
          <w:sz w:val="32"/>
          <w:szCs w:val="32"/>
          <w:lang w:val="en-US" w:bidi="ar-SA"/>
        </w:rPr>
        <w:t>附表：</w:t>
      </w:r>
    </w:p>
    <w:p>
      <w:pPr>
        <w:widowControl/>
        <w:autoSpaceDE/>
        <w:autoSpaceDN/>
        <w:jc w:val="center"/>
        <w:rPr>
          <w:rFonts w:cs="Times New Roman"/>
          <w:b/>
          <w:bCs/>
          <w:snapToGrid w:val="0"/>
          <w:sz w:val="32"/>
          <w:szCs w:val="32"/>
          <w:lang w:val="en-US" w:bidi="ar-SA"/>
        </w:rPr>
      </w:pPr>
      <w:r>
        <w:rPr>
          <w:rFonts w:hint="eastAsia" w:cs="Times New Roman"/>
          <w:b/>
          <w:bCs/>
          <w:snapToGrid w:val="0"/>
          <w:sz w:val="32"/>
          <w:szCs w:val="32"/>
          <w:lang w:val="en-US" w:bidi="ar-SA"/>
        </w:rPr>
        <w:t>投入项目组主要人员情况</w:t>
      </w:r>
    </w:p>
    <w:tbl>
      <w:tblPr>
        <w:tblStyle w:val="26"/>
        <w:tblW w:w="8714"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1"/>
        <w:gridCol w:w="2763"/>
        <w:gridCol w:w="1242"/>
        <w:gridCol w:w="1067"/>
        <w:gridCol w:w="23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71" w:type="dxa"/>
          </w:tcPr>
          <w:p>
            <w:pPr>
              <w:pStyle w:val="28"/>
              <w:snapToGrid w:val="0"/>
              <w:rPr>
                <w:sz w:val="21"/>
                <w:szCs w:val="21"/>
              </w:rPr>
            </w:pPr>
            <w:r>
              <w:rPr>
                <w:rFonts w:cs="Times New Roman"/>
                <w:b/>
                <w:bCs/>
                <w:snapToGrid w:val="0"/>
                <w:sz w:val="21"/>
                <w:szCs w:val="21"/>
                <w:lang w:val="en-US" w:bidi="ar-SA"/>
              </w:rPr>
              <w:br w:type="page"/>
            </w:r>
            <w:r>
              <w:rPr>
                <w:rFonts w:cs="Times New Roman"/>
                <w:b/>
                <w:bCs/>
                <w:snapToGrid w:val="0"/>
                <w:sz w:val="21"/>
                <w:szCs w:val="21"/>
                <w:lang w:val="en-US" w:bidi="ar-SA"/>
              </w:rPr>
              <w:br w:type="page"/>
            </w:r>
            <w:r>
              <w:rPr>
                <w:sz w:val="21"/>
                <w:szCs w:val="21"/>
              </w:rPr>
              <w:t>序号</w:t>
            </w:r>
          </w:p>
        </w:tc>
        <w:tc>
          <w:tcPr>
            <w:tcW w:w="2763" w:type="dxa"/>
          </w:tcPr>
          <w:p>
            <w:pPr>
              <w:pStyle w:val="28"/>
              <w:snapToGrid w:val="0"/>
              <w:rPr>
                <w:sz w:val="21"/>
                <w:szCs w:val="21"/>
              </w:rPr>
            </w:pPr>
            <w:r>
              <w:rPr>
                <w:sz w:val="21"/>
                <w:szCs w:val="21"/>
              </w:rPr>
              <w:t>在本项目中担任职务</w:t>
            </w:r>
          </w:p>
        </w:tc>
        <w:tc>
          <w:tcPr>
            <w:tcW w:w="1242" w:type="dxa"/>
          </w:tcPr>
          <w:p>
            <w:pPr>
              <w:pStyle w:val="28"/>
              <w:snapToGrid w:val="0"/>
              <w:rPr>
                <w:sz w:val="21"/>
                <w:szCs w:val="21"/>
              </w:rPr>
            </w:pPr>
            <w:r>
              <w:rPr>
                <w:sz w:val="21"/>
                <w:szCs w:val="21"/>
              </w:rPr>
              <w:t>姓名</w:t>
            </w:r>
          </w:p>
        </w:tc>
        <w:tc>
          <w:tcPr>
            <w:tcW w:w="1067" w:type="dxa"/>
          </w:tcPr>
          <w:p>
            <w:pPr>
              <w:pStyle w:val="28"/>
              <w:snapToGrid w:val="0"/>
              <w:rPr>
                <w:sz w:val="21"/>
                <w:szCs w:val="21"/>
              </w:rPr>
            </w:pPr>
            <w:r>
              <w:rPr>
                <w:sz w:val="21"/>
                <w:szCs w:val="21"/>
              </w:rPr>
              <w:t>年龄</w:t>
            </w:r>
          </w:p>
        </w:tc>
        <w:tc>
          <w:tcPr>
            <w:tcW w:w="2371" w:type="dxa"/>
          </w:tcPr>
          <w:p>
            <w:pPr>
              <w:pStyle w:val="28"/>
              <w:snapToGrid w:val="0"/>
              <w:rPr>
                <w:sz w:val="21"/>
                <w:szCs w:val="21"/>
              </w:rPr>
            </w:pPr>
            <w:r>
              <w:rPr>
                <w:rFonts w:hint="eastAsia"/>
                <w:sz w:val="21"/>
                <w:szCs w:val="21"/>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71" w:type="dxa"/>
          </w:tcPr>
          <w:p>
            <w:pPr>
              <w:pStyle w:val="28"/>
              <w:snapToGrid w:val="0"/>
              <w:jc w:val="center"/>
              <w:rPr>
                <w:rFonts w:ascii="Calibri"/>
                <w:sz w:val="21"/>
                <w:szCs w:val="21"/>
              </w:rPr>
            </w:pPr>
            <w:r>
              <w:rPr>
                <w:rFonts w:ascii="Calibri"/>
                <w:sz w:val="21"/>
                <w:szCs w:val="21"/>
              </w:rPr>
              <w:t>1</w:t>
            </w:r>
          </w:p>
        </w:tc>
        <w:tc>
          <w:tcPr>
            <w:tcW w:w="2763" w:type="dxa"/>
          </w:tcPr>
          <w:p>
            <w:pPr>
              <w:pStyle w:val="28"/>
              <w:snapToGrid w:val="0"/>
              <w:rPr>
                <w:rFonts w:ascii="Times New Roman"/>
                <w:sz w:val="21"/>
                <w:szCs w:val="21"/>
              </w:rPr>
            </w:pPr>
            <w:r>
              <w:rPr>
                <w:rFonts w:hint="eastAsia" w:ascii="Times New Roman"/>
                <w:sz w:val="21"/>
                <w:szCs w:val="21"/>
              </w:rPr>
              <w:t>项目负责人1人</w:t>
            </w:r>
          </w:p>
        </w:tc>
        <w:tc>
          <w:tcPr>
            <w:tcW w:w="1242" w:type="dxa"/>
          </w:tcPr>
          <w:p>
            <w:pPr>
              <w:pStyle w:val="28"/>
              <w:snapToGrid w:val="0"/>
              <w:rPr>
                <w:rFonts w:ascii="Times New Roman"/>
                <w:sz w:val="21"/>
                <w:szCs w:val="21"/>
              </w:rPr>
            </w:pPr>
          </w:p>
        </w:tc>
        <w:tc>
          <w:tcPr>
            <w:tcW w:w="1067" w:type="dxa"/>
          </w:tcPr>
          <w:p>
            <w:pPr>
              <w:pStyle w:val="28"/>
              <w:snapToGrid w:val="0"/>
              <w:rPr>
                <w:rFonts w:ascii="Times New Roman"/>
                <w:sz w:val="21"/>
                <w:szCs w:val="21"/>
              </w:rPr>
            </w:pPr>
          </w:p>
        </w:tc>
        <w:tc>
          <w:tcPr>
            <w:tcW w:w="2371" w:type="dxa"/>
          </w:tcPr>
          <w:p>
            <w:pPr>
              <w:pStyle w:val="28"/>
              <w:snapToGrid w:val="0"/>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71" w:type="dxa"/>
          </w:tcPr>
          <w:p>
            <w:pPr>
              <w:pStyle w:val="28"/>
              <w:snapToGrid w:val="0"/>
              <w:jc w:val="center"/>
              <w:rPr>
                <w:rFonts w:ascii="Calibri"/>
                <w:sz w:val="21"/>
                <w:szCs w:val="21"/>
              </w:rPr>
            </w:pPr>
            <w:r>
              <w:rPr>
                <w:rFonts w:ascii="Calibri"/>
                <w:sz w:val="21"/>
                <w:szCs w:val="21"/>
              </w:rPr>
              <w:t>2</w:t>
            </w:r>
          </w:p>
        </w:tc>
        <w:tc>
          <w:tcPr>
            <w:tcW w:w="2763" w:type="dxa"/>
          </w:tcPr>
          <w:p>
            <w:pPr>
              <w:pStyle w:val="28"/>
              <w:snapToGrid w:val="0"/>
              <w:rPr>
                <w:rFonts w:ascii="Times New Roman"/>
                <w:sz w:val="21"/>
                <w:szCs w:val="21"/>
              </w:rPr>
            </w:pPr>
            <w:r>
              <w:rPr>
                <w:rFonts w:hint="eastAsia" w:ascii="Times New Roman"/>
                <w:sz w:val="21"/>
                <w:szCs w:val="21"/>
              </w:rPr>
              <w:t>外业负责人  1人</w:t>
            </w:r>
          </w:p>
        </w:tc>
        <w:tc>
          <w:tcPr>
            <w:tcW w:w="1242" w:type="dxa"/>
          </w:tcPr>
          <w:p>
            <w:pPr>
              <w:pStyle w:val="28"/>
              <w:snapToGrid w:val="0"/>
              <w:rPr>
                <w:rFonts w:ascii="Times New Roman"/>
                <w:sz w:val="21"/>
                <w:szCs w:val="21"/>
              </w:rPr>
            </w:pPr>
          </w:p>
        </w:tc>
        <w:tc>
          <w:tcPr>
            <w:tcW w:w="1067" w:type="dxa"/>
          </w:tcPr>
          <w:p>
            <w:pPr>
              <w:pStyle w:val="28"/>
              <w:snapToGrid w:val="0"/>
              <w:rPr>
                <w:rFonts w:ascii="Times New Roman"/>
                <w:sz w:val="21"/>
                <w:szCs w:val="21"/>
              </w:rPr>
            </w:pPr>
          </w:p>
        </w:tc>
        <w:tc>
          <w:tcPr>
            <w:tcW w:w="2371" w:type="dxa"/>
          </w:tcPr>
          <w:p>
            <w:pPr>
              <w:pStyle w:val="28"/>
              <w:snapToGrid w:val="0"/>
              <w:rPr>
                <w:rFonts w:ascii="Times New Roman"/>
                <w:sz w:val="21"/>
                <w:szCs w:val="21"/>
              </w:rPr>
            </w:pPr>
            <w:r>
              <w:rPr>
                <w:rFonts w:hint="eastAsia" w:ascii="Times New Roman"/>
                <w:sz w:val="21"/>
                <w:szCs w:val="21"/>
              </w:rPr>
              <w:t>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71" w:type="dxa"/>
          </w:tcPr>
          <w:p>
            <w:pPr>
              <w:pStyle w:val="28"/>
              <w:snapToGrid w:val="0"/>
              <w:jc w:val="center"/>
              <w:rPr>
                <w:rFonts w:ascii="Calibri"/>
                <w:sz w:val="21"/>
                <w:szCs w:val="21"/>
              </w:rPr>
            </w:pPr>
            <w:r>
              <w:rPr>
                <w:rFonts w:ascii="Calibri"/>
                <w:sz w:val="21"/>
                <w:szCs w:val="21"/>
              </w:rPr>
              <w:t>3</w:t>
            </w:r>
          </w:p>
        </w:tc>
        <w:tc>
          <w:tcPr>
            <w:tcW w:w="2763" w:type="dxa"/>
          </w:tcPr>
          <w:p>
            <w:pPr>
              <w:pStyle w:val="28"/>
              <w:snapToGrid w:val="0"/>
              <w:rPr>
                <w:rFonts w:ascii="Times New Roman"/>
                <w:sz w:val="21"/>
                <w:szCs w:val="21"/>
              </w:rPr>
            </w:pPr>
            <w:r>
              <w:rPr>
                <w:rFonts w:hint="eastAsia" w:ascii="Times New Roman"/>
                <w:sz w:val="21"/>
                <w:szCs w:val="21"/>
              </w:rPr>
              <w:t>内业负责人1人</w:t>
            </w:r>
          </w:p>
        </w:tc>
        <w:tc>
          <w:tcPr>
            <w:tcW w:w="1242" w:type="dxa"/>
          </w:tcPr>
          <w:p>
            <w:pPr>
              <w:pStyle w:val="28"/>
              <w:snapToGrid w:val="0"/>
              <w:rPr>
                <w:rFonts w:ascii="Times New Roman"/>
                <w:sz w:val="21"/>
                <w:szCs w:val="21"/>
              </w:rPr>
            </w:pPr>
          </w:p>
        </w:tc>
        <w:tc>
          <w:tcPr>
            <w:tcW w:w="1067" w:type="dxa"/>
          </w:tcPr>
          <w:p>
            <w:pPr>
              <w:pStyle w:val="28"/>
              <w:snapToGrid w:val="0"/>
              <w:rPr>
                <w:rFonts w:ascii="Times New Roman"/>
                <w:sz w:val="21"/>
                <w:szCs w:val="21"/>
              </w:rPr>
            </w:pPr>
          </w:p>
        </w:tc>
        <w:tc>
          <w:tcPr>
            <w:tcW w:w="2371" w:type="dxa"/>
          </w:tcPr>
          <w:p>
            <w:pPr>
              <w:pStyle w:val="28"/>
              <w:snapToGrid w:val="0"/>
              <w:rPr>
                <w:rFonts w:ascii="Times New Roman"/>
                <w:sz w:val="21"/>
                <w:szCs w:val="21"/>
              </w:rPr>
            </w:pPr>
            <w:r>
              <w:rPr>
                <w:rFonts w:hint="eastAsia" w:ascii="Times New Roman"/>
                <w:sz w:val="21"/>
                <w:szCs w:val="21"/>
              </w:rPr>
              <w:t>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71" w:type="dxa"/>
          </w:tcPr>
          <w:p>
            <w:pPr>
              <w:pStyle w:val="28"/>
              <w:snapToGrid w:val="0"/>
              <w:jc w:val="center"/>
              <w:rPr>
                <w:rFonts w:ascii="Calibri"/>
                <w:sz w:val="21"/>
                <w:szCs w:val="21"/>
              </w:rPr>
            </w:pPr>
            <w:r>
              <w:rPr>
                <w:rFonts w:ascii="Calibri"/>
                <w:sz w:val="21"/>
                <w:szCs w:val="21"/>
              </w:rPr>
              <w:t>4</w:t>
            </w:r>
          </w:p>
        </w:tc>
        <w:tc>
          <w:tcPr>
            <w:tcW w:w="2763" w:type="dxa"/>
          </w:tcPr>
          <w:p>
            <w:pPr>
              <w:pStyle w:val="28"/>
              <w:snapToGrid w:val="0"/>
              <w:rPr>
                <w:rFonts w:ascii="Times New Roman"/>
                <w:sz w:val="21"/>
                <w:szCs w:val="21"/>
              </w:rPr>
            </w:pPr>
            <w:r>
              <w:rPr>
                <w:rFonts w:hint="eastAsia" w:ascii="Times New Roman"/>
                <w:sz w:val="21"/>
                <w:szCs w:val="21"/>
              </w:rPr>
              <w:t>专业工程师</w:t>
            </w:r>
          </w:p>
        </w:tc>
        <w:tc>
          <w:tcPr>
            <w:tcW w:w="1242" w:type="dxa"/>
          </w:tcPr>
          <w:p>
            <w:pPr>
              <w:pStyle w:val="28"/>
              <w:snapToGrid w:val="0"/>
              <w:rPr>
                <w:rFonts w:ascii="Times New Roman"/>
                <w:sz w:val="21"/>
                <w:szCs w:val="21"/>
              </w:rPr>
            </w:pPr>
          </w:p>
        </w:tc>
        <w:tc>
          <w:tcPr>
            <w:tcW w:w="1067" w:type="dxa"/>
          </w:tcPr>
          <w:p>
            <w:pPr>
              <w:pStyle w:val="28"/>
              <w:snapToGrid w:val="0"/>
              <w:rPr>
                <w:rFonts w:ascii="Times New Roman"/>
                <w:sz w:val="21"/>
                <w:szCs w:val="21"/>
              </w:rPr>
            </w:pPr>
          </w:p>
        </w:tc>
        <w:tc>
          <w:tcPr>
            <w:tcW w:w="2371" w:type="dxa"/>
          </w:tcPr>
          <w:p>
            <w:pPr>
              <w:pStyle w:val="28"/>
              <w:snapToGrid w:val="0"/>
              <w:rPr>
                <w:rFonts w:ascii="Times New Roman"/>
                <w:sz w:val="21"/>
                <w:szCs w:val="21"/>
              </w:rPr>
            </w:pPr>
            <w:r>
              <w:rPr>
                <w:rFonts w:hint="eastAsia" w:ascii="Times New Roman"/>
                <w:sz w:val="21"/>
                <w:szCs w:val="21"/>
              </w:rPr>
              <w:t>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71" w:type="dxa"/>
          </w:tcPr>
          <w:p>
            <w:pPr>
              <w:pStyle w:val="28"/>
              <w:snapToGrid w:val="0"/>
              <w:jc w:val="center"/>
              <w:rPr>
                <w:rFonts w:ascii="Calibri"/>
                <w:sz w:val="21"/>
                <w:szCs w:val="21"/>
              </w:rPr>
            </w:pPr>
            <w:r>
              <w:rPr>
                <w:rFonts w:ascii="Calibri"/>
                <w:sz w:val="21"/>
                <w:szCs w:val="21"/>
              </w:rPr>
              <w:t>5</w:t>
            </w:r>
          </w:p>
        </w:tc>
        <w:tc>
          <w:tcPr>
            <w:tcW w:w="2763" w:type="dxa"/>
          </w:tcPr>
          <w:p>
            <w:pPr>
              <w:pStyle w:val="28"/>
              <w:snapToGrid w:val="0"/>
              <w:rPr>
                <w:rFonts w:ascii="Times New Roman"/>
                <w:sz w:val="21"/>
                <w:szCs w:val="21"/>
              </w:rPr>
            </w:pPr>
            <w:r>
              <w:rPr>
                <w:rFonts w:hint="eastAsia" w:ascii="Times New Roman"/>
                <w:sz w:val="21"/>
                <w:szCs w:val="21"/>
              </w:rPr>
              <w:t>沉降观测员</w:t>
            </w:r>
          </w:p>
        </w:tc>
        <w:tc>
          <w:tcPr>
            <w:tcW w:w="1242" w:type="dxa"/>
          </w:tcPr>
          <w:p>
            <w:pPr>
              <w:pStyle w:val="28"/>
              <w:snapToGrid w:val="0"/>
              <w:rPr>
                <w:rFonts w:ascii="Times New Roman"/>
                <w:sz w:val="21"/>
                <w:szCs w:val="21"/>
              </w:rPr>
            </w:pPr>
          </w:p>
        </w:tc>
        <w:tc>
          <w:tcPr>
            <w:tcW w:w="1067" w:type="dxa"/>
          </w:tcPr>
          <w:p>
            <w:pPr>
              <w:pStyle w:val="28"/>
              <w:snapToGrid w:val="0"/>
              <w:rPr>
                <w:rFonts w:ascii="Times New Roman"/>
                <w:sz w:val="21"/>
                <w:szCs w:val="21"/>
              </w:rPr>
            </w:pPr>
          </w:p>
        </w:tc>
        <w:tc>
          <w:tcPr>
            <w:tcW w:w="2371" w:type="dxa"/>
          </w:tcPr>
          <w:p>
            <w:pPr>
              <w:pStyle w:val="28"/>
              <w:snapToGrid w:val="0"/>
              <w:rPr>
                <w:rFonts w:ascii="Times New Roman"/>
                <w:sz w:val="21"/>
                <w:szCs w:val="21"/>
              </w:rPr>
            </w:pPr>
            <w:r>
              <w:rPr>
                <w:rFonts w:hint="eastAsia" w:ascii="Times New Roman"/>
                <w:sz w:val="21"/>
                <w:szCs w:val="21"/>
              </w:rPr>
              <w:t>助工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71" w:type="dxa"/>
          </w:tcPr>
          <w:p>
            <w:pPr>
              <w:pStyle w:val="28"/>
              <w:snapToGrid w:val="0"/>
              <w:jc w:val="center"/>
              <w:rPr>
                <w:rFonts w:ascii="Calibri"/>
                <w:sz w:val="21"/>
                <w:szCs w:val="21"/>
              </w:rPr>
            </w:pPr>
            <w:r>
              <w:rPr>
                <w:rFonts w:ascii="Calibri"/>
                <w:sz w:val="21"/>
                <w:szCs w:val="21"/>
              </w:rPr>
              <w:t>6</w:t>
            </w:r>
          </w:p>
        </w:tc>
        <w:tc>
          <w:tcPr>
            <w:tcW w:w="2763" w:type="dxa"/>
          </w:tcPr>
          <w:p>
            <w:pPr>
              <w:pStyle w:val="28"/>
              <w:snapToGrid w:val="0"/>
              <w:rPr>
                <w:rFonts w:ascii="Times New Roman"/>
                <w:sz w:val="21"/>
                <w:szCs w:val="21"/>
              </w:rPr>
            </w:pPr>
            <w:r>
              <w:rPr>
                <w:rFonts w:hint="eastAsia" w:ascii="Times New Roman"/>
                <w:sz w:val="21"/>
                <w:szCs w:val="21"/>
              </w:rPr>
              <w:t>资料员</w:t>
            </w:r>
            <w:r>
              <w:rPr>
                <w:rFonts w:ascii="Times New Roman"/>
                <w:sz w:val="21"/>
                <w:szCs w:val="21"/>
              </w:rPr>
              <w:t xml:space="preserve"> 1</w:t>
            </w:r>
            <w:r>
              <w:rPr>
                <w:rFonts w:hint="eastAsia" w:ascii="Times New Roman"/>
                <w:sz w:val="21"/>
                <w:szCs w:val="21"/>
              </w:rPr>
              <w:t>人</w:t>
            </w:r>
          </w:p>
        </w:tc>
        <w:tc>
          <w:tcPr>
            <w:tcW w:w="1242" w:type="dxa"/>
          </w:tcPr>
          <w:p>
            <w:pPr>
              <w:pStyle w:val="28"/>
              <w:snapToGrid w:val="0"/>
              <w:rPr>
                <w:rFonts w:ascii="Times New Roman"/>
                <w:sz w:val="21"/>
                <w:szCs w:val="21"/>
              </w:rPr>
            </w:pPr>
          </w:p>
        </w:tc>
        <w:tc>
          <w:tcPr>
            <w:tcW w:w="1067" w:type="dxa"/>
          </w:tcPr>
          <w:p>
            <w:pPr>
              <w:pStyle w:val="28"/>
              <w:snapToGrid w:val="0"/>
              <w:rPr>
                <w:rFonts w:ascii="Times New Roman"/>
                <w:sz w:val="21"/>
                <w:szCs w:val="21"/>
              </w:rPr>
            </w:pPr>
          </w:p>
        </w:tc>
        <w:tc>
          <w:tcPr>
            <w:tcW w:w="2371" w:type="dxa"/>
          </w:tcPr>
          <w:p>
            <w:pPr>
              <w:pStyle w:val="28"/>
              <w:snapToGrid w:val="0"/>
              <w:rPr>
                <w:rFonts w:ascii="Times New Roman"/>
                <w:sz w:val="21"/>
                <w:szCs w:val="21"/>
              </w:rPr>
            </w:pPr>
            <w:r>
              <w:rPr>
                <w:rFonts w:hint="eastAsia" w:ascii="Times New Roman"/>
                <w:sz w:val="21"/>
                <w:szCs w:val="21"/>
              </w:rPr>
              <w:t>助工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71" w:type="dxa"/>
          </w:tcPr>
          <w:p>
            <w:pPr>
              <w:pStyle w:val="28"/>
              <w:snapToGrid w:val="0"/>
              <w:jc w:val="center"/>
              <w:rPr>
                <w:rFonts w:ascii="Calibri"/>
                <w:sz w:val="21"/>
                <w:szCs w:val="21"/>
              </w:rPr>
            </w:pPr>
          </w:p>
        </w:tc>
        <w:tc>
          <w:tcPr>
            <w:tcW w:w="2763" w:type="dxa"/>
          </w:tcPr>
          <w:p>
            <w:pPr>
              <w:pStyle w:val="28"/>
              <w:snapToGrid w:val="0"/>
              <w:rPr>
                <w:rFonts w:ascii="Times New Roman"/>
                <w:sz w:val="21"/>
                <w:szCs w:val="21"/>
              </w:rPr>
            </w:pPr>
          </w:p>
        </w:tc>
        <w:tc>
          <w:tcPr>
            <w:tcW w:w="1242" w:type="dxa"/>
          </w:tcPr>
          <w:p>
            <w:pPr>
              <w:pStyle w:val="28"/>
              <w:snapToGrid w:val="0"/>
              <w:rPr>
                <w:rFonts w:ascii="Times New Roman"/>
                <w:sz w:val="21"/>
                <w:szCs w:val="21"/>
              </w:rPr>
            </w:pPr>
          </w:p>
        </w:tc>
        <w:tc>
          <w:tcPr>
            <w:tcW w:w="1067" w:type="dxa"/>
          </w:tcPr>
          <w:p>
            <w:pPr>
              <w:pStyle w:val="28"/>
              <w:snapToGrid w:val="0"/>
              <w:rPr>
                <w:rFonts w:ascii="Times New Roman"/>
                <w:sz w:val="21"/>
                <w:szCs w:val="21"/>
              </w:rPr>
            </w:pPr>
          </w:p>
        </w:tc>
        <w:tc>
          <w:tcPr>
            <w:tcW w:w="2371" w:type="dxa"/>
          </w:tcPr>
          <w:p>
            <w:pPr>
              <w:pStyle w:val="28"/>
              <w:snapToGrid w:val="0"/>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71" w:type="dxa"/>
          </w:tcPr>
          <w:p>
            <w:pPr>
              <w:pStyle w:val="28"/>
              <w:snapToGrid w:val="0"/>
              <w:jc w:val="center"/>
              <w:rPr>
                <w:rFonts w:ascii="Calibri"/>
                <w:sz w:val="21"/>
                <w:szCs w:val="21"/>
              </w:rPr>
            </w:pPr>
          </w:p>
        </w:tc>
        <w:tc>
          <w:tcPr>
            <w:tcW w:w="2763" w:type="dxa"/>
          </w:tcPr>
          <w:p>
            <w:pPr>
              <w:pStyle w:val="28"/>
              <w:snapToGrid w:val="0"/>
              <w:rPr>
                <w:rFonts w:ascii="Times New Roman"/>
                <w:sz w:val="21"/>
                <w:szCs w:val="21"/>
              </w:rPr>
            </w:pPr>
          </w:p>
        </w:tc>
        <w:tc>
          <w:tcPr>
            <w:tcW w:w="1242" w:type="dxa"/>
          </w:tcPr>
          <w:p>
            <w:pPr>
              <w:pStyle w:val="28"/>
              <w:snapToGrid w:val="0"/>
              <w:rPr>
                <w:rFonts w:ascii="Times New Roman"/>
                <w:sz w:val="21"/>
                <w:szCs w:val="21"/>
              </w:rPr>
            </w:pPr>
          </w:p>
        </w:tc>
        <w:tc>
          <w:tcPr>
            <w:tcW w:w="1067" w:type="dxa"/>
          </w:tcPr>
          <w:p>
            <w:pPr>
              <w:pStyle w:val="28"/>
              <w:snapToGrid w:val="0"/>
              <w:rPr>
                <w:rFonts w:ascii="Times New Roman"/>
                <w:sz w:val="21"/>
                <w:szCs w:val="21"/>
              </w:rPr>
            </w:pPr>
          </w:p>
        </w:tc>
        <w:tc>
          <w:tcPr>
            <w:tcW w:w="2371" w:type="dxa"/>
          </w:tcPr>
          <w:p>
            <w:pPr>
              <w:pStyle w:val="28"/>
              <w:snapToGrid w:val="0"/>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71" w:type="dxa"/>
          </w:tcPr>
          <w:p>
            <w:pPr>
              <w:pStyle w:val="28"/>
              <w:snapToGrid w:val="0"/>
              <w:jc w:val="center"/>
              <w:rPr>
                <w:rFonts w:ascii="Calibri"/>
                <w:sz w:val="21"/>
                <w:szCs w:val="21"/>
              </w:rPr>
            </w:pPr>
          </w:p>
        </w:tc>
        <w:tc>
          <w:tcPr>
            <w:tcW w:w="2763" w:type="dxa"/>
          </w:tcPr>
          <w:p>
            <w:pPr>
              <w:pStyle w:val="28"/>
              <w:snapToGrid w:val="0"/>
              <w:rPr>
                <w:rFonts w:ascii="Times New Roman"/>
                <w:sz w:val="21"/>
                <w:szCs w:val="21"/>
              </w:rPr>
            </w:pPr>
          </w:p>
        </w:tc>
        <w:tc>
          <w:tcPr>
            <w:tcW w:w="1242" w:type="dxa"/>
          </w:tcPr>
          <w:p>
            <w:pPr>
              <w:pStyle w:val="28"/>
              <w:snapToGrid w:val="0"/>
              <w:rPr>
                <w:rFonts w:ascii="Times New Roman"/>
                <w:sz w:val="21"/>
                <w:szCs w:val="21"/>
              </w:rPr>
            </w:pPr>
          </w:p>
        </w:tc>
        <w:tc>
          <w:tcPr>
            <w:tcW w:w="1067" w:type="dxa"/>
          </w:tcPr>
          <w:p>
            <w:pPr>
              <w:pStyle w:val="28"/>
              <w:snapToGrid w:val="0"/>
              <w:rPr>
                <w:rFonts w:ascii="Times New Roman"/>
                <w:sz w:val="21"/>
                <w:szCs w:val="21"/>
              </w:rPr>
            </w:pPr>
          </w:p>
        </w:tc>
        <w:tc>
          <w:tcPr>
            <w:tcW w:w="2371" w:type="dxa"/>
          </w:tcPr>
          <w:p>
            <w:pPr>
              <w:pStyle w:val="28"/>
              <w:snapToGrid w:val="0"/>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71" w:type="dxa"/>
          </w:tcPr>
          <w:p>
            <w:pPr>
              <w:pStyle w:val="28"/>
              <w:snapToGrid w:val="0"/>
              <w:jc w:val="center"/>
              <w:rPr>
                <w:rFonts w:ascii="Calibri"/>
                <w:sz w:val="21"/>
                <w:szCs w:val="21"/>
              </w:rPr>
            </w:pPr>
          </w:p>
        </w:tc>
        <w:tc>
          <w:tcPr>
            <w:tcW w:w="2763" w:type="dxa"/>
          </w:tcPr>
          <w:p>
            <w:pPr>
              <w:pStyle w:val="28"/>
              <w:snapToGrid w:val="0"/>
              <w:rPr>
                <w:rFonts w:ascii="Times New Roman"/>
                <w:sz w:val="21"/>
                <w:szCs w:val="21"/>
              </w:rPr>
            </w:pPr>
          </w:p>
        </w:tc>
        <w:tc>
          <w:tcPr>
            <w:tcW w:w="1242" w:type="dxa"/>
          </w:tcPr>
          <w:p>
            <w:pPr>
              <w:pStyle w:val="28"/>
              <w:snapToGrid w:val="0"/>
              <w:rPr>
                <w:rFonts w:ascii="Times New Roman"/>
                <w:sz w:val="21"/>
                <w:szCs w:val="21"/>
              </w:rPr>
            </w:pPr>
          </w:p>
        </w:tc>
        <w:tc>
          <w:tcPr>
            <w:tcW w:w="1067" w:type="dxa"/>
          </w:tcPr>
          <w:p>
            <w:pPr>
              <w:pStyle w:val="28"/>
              <w:snapToGrid w:val="0"/>
              <w:rPr>
                <w:rFonts w:ascii="Times New Roman"/>
                <w:sz w:val="21"/>
                <w:szCs w:val="21"/>
              </w:rPr>
            </w:pPr>
          </w:p>
        </w:tc>
        <w:tc>
          <w:tcPr>
            <w:tcW w:w="2371" w:type="dxa"/>
          </w:tcPr>
          <w:p>
            <w:pPr>
              <w:pStyle w:val="28"/>
              <w:snapToGrid w:val="0"/>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71" w:type="dxa"/>
          </w:tcPr>
          <w:p>
            <w:pPr>
              <w:pStyle w:val="28"/>
              <w:snapToGrid w:val="0"/>
              <w:jc w:val="center"/>
              <w:rPr>
                <w:rFonts w:ascii="Calibri"/>
                <w:sz w:val="21"/>
                <w:szCs w:val="21"/>
              </w:rPr>
            </w:pPr>
          </w:p>
        </w:tc>
        <w:tc>
          <w:tcPr>
            <w:tcW w:w="2763" w:type="dxa"/>
          </w:tcPr>
          <w:p>
            <w:pPr>
              <w:pStyle w:val="28"/>
              <w:snapToGrid w:val="0"/>
              <w:rPr>
                <w:rFonts w:ascii="Times New Roman"/>
                <w:sz w:val="21"/>
                <w:szCs w:val="21"/>
              </w:rPr>
            </w:pPr>
          </w:p>
        </w:tc>
        <w:tc>
          <w:tcPr>
            <w:tcW w:w="1242" w:type="dxa"/>
          </w:tcPr>
          <w:p>
            <w:pPr>
              <w:pStyle w:val="28"/>
              <w:snapToGrid w:val="0"/>
              <w:rPr>
                <w:rFonts w:ascii="Times New Roman"/>
                <w:sz w:val="21"/>
                <w:szCs w:val="21"/>
              </w:rPr>
            </w:pPr>
          </w:p>
        </w:tc>
        <w:tc>
          <w:tcPr>
            <w:tcW w:w="1067" w:type="dxa"/>
          </w:tcPr>
          <w:p>
            <w:pPr>
              <w:pStyle w:val="28"/>
              <w:snapToGrid w:val="0"/>
              <w:rPr>
                <w:rFonts w:ascii="Times New Roman"/>
                <w:sz w:val="21"/>
                <w:szCs w:val="21"/>
              </w:rPr>
            </w:pPr>
          </w:p>
        </w:tc>
        <w:tc>
          <w:tcPr>
            <w:tcW w:w="2371" w:type="dxa"/>
          </w:tcPr>
          <w:p>
            <w:pPr>
              <w:pStyle w:val="28"/>
              <w:snapToGrid w:val="0"/>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71" w:type="dxa"/>
          </w:tcPr>
          <w:p>
            <w:pPr>
              <w:pStyle w:val="28"/>
              <w:snapToGrid w:val="0"/>
              <w:jc w:val="center"/>
              <w:rPr>
                <w:rFonts w:ascii="Calibri"/>
                <w:sz w:val="21"/>
                <w:szCs w:val="21"/>
              </w:rPr>
            </w:pPr>
          </w:p>
        </w:tc>
        <w:tc>
          <w:tcPr>
            <w:tcW w:w="2763" w:type="dxa"/>
          </w:tcPr>
          <w:p>
            <w:pPr>
              <w:pStyle w:val="28"/>
              <w:snapToGrid w:val="0"/>
              <w:rPr>
                <w:rFonts w:ascii="Times New Roman"/>
                <w:sz w:val="21"/>
                <w:szCs w:val="21"/>
              </w:rPr>
            </w:pPr>
          </w:p>
        </w:tc>
        <w:tc>
          <w:tcPr>
            <w:tcW w:w="1242" w:type="dxa"/>
          </w:tcPr>
          <w:p>
            <w:pPr>
              <w:pStyle w:val="28"/>
              <w:snapToGrid w:val="0"/>
              <w:rPr>
                <w:rFonts w:ascii="Times New Roman"/>
                <w:sz w:val="21"/>
                <w:szCs w:val="21"/>
              </w:rPr>
            </w:pPr>
          </w:p>
        </w:tc>
        <w:tc>
          <w:tcPr>
            <w:tcW w:w="1067" w:type="dxa"/>
          </w:tcPr>
          <w:p>
            <w:pPr>
              <w:pStyle w:val="28"/>
              <w:snapToGrid w:val="0"/>
              <w:rPr>
                <w:rFonts w:ascii="Times New Roman"/>
                <w:sz w:val="21"/>
                <w:szCs w:val="21"/>
              </w:rPr>
            </w:pPr>
          </w:p>
        </w:tc>
        <w:tc>
          <w:tcPr>
            <w:tcW w:w="2371" w:type="dxa"/>
          </w:tcPr>
          <w:p>
            <w:pPr>
              <w:pStyle w:val="28"/>
              <w:snapToGrid w:val="0"/>
              <w:rPr>
                <w:rFonts w:ascii="Times New Roman"/>
                <w:sz w:val="21"/>
                <w:szCs w:val="21"/>
              </w:rPr>
            </w:pPr>
          </w:p>
        </w:tc>
      </w:tr>
    </w:tbl>
    <w:p>
      <w:pPr>
        <w:widowControl/>
        <w:autoSpaceDE/>
        <w:autoSpaceDN/>
        <w:rPr>
          <w:rFonts w:cs="Times New Roman"/>
          <w:b/>
          <w:bCs/>
          <w:snapToGrid w:val="0"/>
          <w:sz w:val="21"/>
          <w:szCs w:val="21"/>
          <w:lang w:val="en-US" w:bidi="ar-SA"/>
        </w:rPr>
      </w:pPr>
    </w:p>
    <w:p>
      <w:pPr>
        <w:widowControl/>
        <w:autoSpaceDE/>
        <w:autoSpaceDN/>
        <w:rPr>
          <w:rFonts w:cs="Times New Roman"/>
          <w:b/>
          <w:bCs/>
          <w:snapToGrid w:val="0"/>
          <w:sz w:val="21"/>
          <w:szCs w:val="21"/>
          <w:lang w:val="en-US" w:bidi="ar-SA"/>
        </w:rPr>
      </w:pPr>
      <w:r>
        <w:rPr>
          <w:rFonts w:cs="Times New Roman"/>
          <w:b/>
          <w:bCs/>
          <w:snapToGrid w:val="0"/>
          <w:sz w:val="21"/>
          <w:szCs w:val="21"/>
          <w:lang w:val="en-US" w:bidi="ar-SA"/>
        </w:rPr>
        <w:br w:type="page"/>
      </w:r>
    </w:p>
    <w:p>
      <w:pPr>
        <w:widowControl/>
        <w:autoSpaceDE/>
        <w:autoSpaceDN/>
        <w:rPr>
          <w:rFonts w:cs="Times New Roman"/>
          <w:b/>
          <w:bCs/>
          <w:snapToGrid w:val="0"/>
          <w:sz w:val="21"/>
          <w:szCs w:val="21"/>
          <w:lang w:val="en-US" w:bidi="ar-SA"/>
        </w:rPr>
      </w:pPr>
    </w:p>
    <w:p>
      <w:pPr>
        <w:autoSpaceDE/>
        <w:autoSpaceDN/>
        <w:adjustRightInd w:val="0"/>
        <w:snapToGrid w:val="0"/>
        <w:spacing w:line="360" w:lineRule="auto"/>
        <w:ind w:firstLine="549" w:firstLineChars="171"/>
        <w:jc w:val="center"/>
        <w:rPr>
          <w:rFonts w:ascii="Times New Roman" w:hAnsi="Times New Roman" w:eastAsia="黑体" w:cs="Times New Roman"/>
          <w:b/>
          <w:bCs/>
          <w:kern w:val="2"/>
          <w:sz w:val="32"/>
          <w:szCs w:val="32"/>
          <w:lang w:val="en-US" w:bidi="ar-SA"/>
        </w:rPr>
      </w:pPr>
      <w:r>
        <w:rPr>
          <w:rFonts w:ascii="Times New Roman" w:hAnsi="Times New Roman" w:eastAsia="黑体" w:cs="Times New Roman"/>
          <w:b/>
          <w:bCs/>
          <w:kern w:val="2"/>
          <w:sz w:val="32"/>
          <w:szCs w:val="32"/>
          <w:lang w:val="en-US" w:bidi="ar-SA"/>
        </w:rPr>
        <w:t>第二部分</w:t>
      </w:r>
      <w:bookmarkEnd w:id="17"/>
      <w:r>
        <w:rPr>
          <w:rFonts w:ascii="Times New Roman" w:hAnsi="Times New Roman" w:eastAsia="黑体" w:cs="Times New Roman"/>
          <w:b/>
          <w:bCs/>
          <w:kern w:val="2"/>
          <w:sz w:val="32"/>
          <w:szCs w:val="32"/>
          <w:lang w:val="en-US" w:bidi="ar-SA"/>
        </w:rPr>
        <w:t>合同条款</w:t>
      </w:r>
      <w:bookmarkEnd w:id="18"/>
    </w:p>
    <w:p>
      <w:pPr>
        <w:autoSpaceDE/>
        <w:autoSpaceDN/>
        <w:adjustRightInd w:val="0"/>
        <w:snapToGrid w:val="0"/>
        <w:spacing w:line="360" w:lineRule="auto"/>
        <w:ind w:firstLine="330" w:firstLineChars="150"/>
        <w:jc w:val="both"/>
      </w:pPr>
      <w:r>
        <w:t>1．定义与解释</w:t>
      </w:r>
    </w:p>
    <w:p>
      <w:pPr>
        <w:autoSpaceDE/>
        <w:autoSpaceDN/>
        <w:adjustRightInd w:val="0"/>
        <w:snapToGrid w:val="0"/>
        <w:spacing w:line="360" w:lineRule="auto"/>
        <w:ind w:firstLine="330" w:firstLineChars="150"/>
        <w:jc w:val="both"/>
      </w:pPr>
      <w:r>
        <w:t>1.1 定义 下列词句或用语，除根据上下文另有其意义外，一般应具有如下含义：</w:t>
      </w:r>
    </w:p>
    <w:p>
      <w:pPr>
        <w:autoSpaceDE/>
        <w:autoSpaceDN/>
        <w:adjustRightInd w:val="0"/>
        <w:snapToGrid w:val="0"/>
        <w:spacing w:line="360" w:lineRule="auto"/>
        <w:ind w:firstLine="330" w:firstLineChars="150"/>
        <w:jc w:val="both"/>
      </w:pPr>
      <w:r>
        <w:t>1.1.1 项目 委托人建造工程和委托监测服务单位提供沉降观测服务的对象。</w:t>
      </w:r>
    </w:p>
    <w:p>
      <w:pPr>
        <w:autoSpaceDE/>
        <w:autoSpaceDN/>
        <w:adjustRightInd w:val="0"/>
        <w:snapToGrid w:val="0"/>
        <w:spacing w:line="360" w:lineRule="auto"/>
        <w:ind w:firstLine="330" w:firstLineChars="150"/>
        <w:jc w:val="both"/>
      </w:pPr>
      <w:r>
        <w:t>1.1.2 工程 为完成项目所实施的一项或若干项永久或临时工程(包括向委托人提供的物资和设备)。</w:t>
      </w:r>
    </w:p>
    <w:p>
      <w:pPr>
        <w:autoSpaceDE/>
        <w:autoSpaceDN/>
        <w:adjustRightInd w:val="0"/>
        <w:snapToGrid w:val="0"/>
        <w:spacing w:line="360" w:lineRule="auto"/>
        <w:ind w:firstLine="330" w:firstLineChars="150"/>
        <w:jc w:val="both"/>
      </w:pPr>
      <w:r>
        <w:t>1.1.3 服务 监测服务单位根据沉降观测合同所承担的工作，亦称沉降观测服务。</w:t>
      </w:r>
    </w:p>
    <w:p>
      <w:pPr>
        <w:autoSpaceDE/>
        <w:autoSpaceDN/>
        <w:adjustRightInd w:val="0"/>
        <w:snapToGrid w:val="0"/>
        <w:spacing w:line="360" w:lineRule="auto"/>
        <w:ind w:firstLine="330" w:firstLineChars="150"/>
        <w:jc w:val="both"/>
      </w:pPr>
      <w:r>
        <w:t xml:space="preserve">1.1.4 委托人 委托监测服务单位提供沉降观测服务的法人或其合法继承人或其合法受让人。 </w:t>
      </w:r>
    </w:p>
    <w:p>
      <w:pPr>
        <w:autoSpaceDE/>
        <w:autoSpaceDN/>
        <w:adjustRightInd w:val="0"/>
        <w:snapToGrid w:val="0"/>
        <w:spacing w:line="360" w:lineRule="auto"/>
        <w:ind w:firstLine="330" w:firstLineChars="150"/>
        <w:jc w:val="both"/>
      </w:pPr>
      <w:r>
        <w:t>1.1.5 监测服务单位 受委托人委托提供沉降观测服务并具有相应资质的法人或其合法继承人或其合法受让人。指投标文件已被委托人接受，并与委托人签订了合同协议书负责实施沉降观测服务的单位。</w:t>
      </w:r>
    </w:p>
    <w:p>
      <w:pPr>
        <w:autoSpaceDE/>
        <w:autoSpaceDN/>
        <w:adjustRightInd w:val="0"/>
        <w:snapToGrid w:val="0"/>
        <w:spacing w:line="360" w:lineRule="auto"/>
        <w:ind w:firstLine="330" w:firstLineChars="150"/>
        <w:jc w:val="both"/>
      </w:pPr>
      <w:r>
        <w:t>1.1.6 一方 委托人或监测服务单位。 双方 委托人和监测服务单位。</w:t>
      </w:r>
    </w:p>
    <w:p>
      <w:pPr>
        <w:autoSpaceDE/>
        <w:autoSpaceDN/>
        <w:adjustRightInd w:val="0"/>
        <w:snapToGrid w:val="0"/>
        <w:spacing w:line="360" w:lineRule="auto"/>
        <w:ind w:firstLine="330" w:firstLineChars="150"/>
        <w:jc w:val="both"/>
      </w:pPr>
      <w:r>
        <w:t>1.1.7 沉降观测合同 一般应包括：合同协议书及附件、中标通知书、投标函、合同条款、技术标准和要求、报价清单、双方签认的补充或修正文件。</w:t>
      </w:r>
    </w:p>
    <w:p>
      <w:pPr>
        <w:autoSpaceDE/>
        <w:autoSpaceDN/>
        <w:adjustRightInd w:val="0"/>
        <w:snapToGrid w:val="0"/>
        <w:spacing w:line="360" w:lineRule="auto"/>
        <w:ind w:firstLine="330" w:firstLineChars="150"/>
        <w:jc w:val="both"/>
      </w:pPr>
      <w:r>
        <w:t xml:space="preserve">1.1.8 书面形式 指任何手写、打字、印刷或电子文档等用文字表达的方式。 </w:t>
      </w:r>
    </w:p>
    <w:p>
      <w:pPr>
        <w:autoSpaceDE/>
        <w:autoSpaceDN/>
        <w:adjustRightInd w:val="0"/>
        <w:snapToGrid w:val="0"/>
        <w:spacing w:line="360" w:lineRule="auto"/>
        <w:ind w:firstLine="330" w:firstLineChars="150"/>
        <w:jc w:val="both"/>
      </w:pPr>
      <w:r>
        <w:t xml:space="preserve">1.1.9 日 即日历日。 </w:t>
      </w:r>
    </w:p>
    <w:p>
      <w:pPr>
        <w:autoSpaceDE/>
        <w:autoSpaceDN/>
        <w:adjustRightInd w:val="0"/>
        <w:snapToGrid w:val="0"/>
        <w:spacing w:line="360" w:lineRule="auto"/>
        <w:ind w:firstLine="330" w:firstLineChars="150"/>
        <w:jc w:val="both"/>
      </w:pPr>
      <w:r>
        <w:t xml:space="preserve">1.1.10 月 根据公历从某一个月份中的任何一日开始至下一个月份相应日期的前一日截止的时间 段。 </w:t>
      </w:r>
    </w:p>
    <w:p>
      <w:pPr>
        <w:autoSpaceDE/>
        <w:autoSpaceDN/>
        <w:adjustRightInd w:val="0"/>
        <w:snapToGrid w:val="0"/>
        <w:spacing w:line="360" w:lineRule="auto"/>
        <w:ind w:firstLine="330" w:firstLineChars="150"/>
        <w:jc w:val="both"/>
      </w:pPr>
      <w:r>
        <w:t xml:space="preserve">1.2 解释 </w:t>
      </w:r>
    </w:p>
    <w:p>
      <w:pPr>
        <w:autoSpaceDE/>
        <w:autoSpaceDN/>
        <w:adjustRightInd w:val="0"/>
        <w:snapToGrid w:val="0"/>
        <w:spacing w:line="360" w:lineRule="auto"/>
        <w:ind w:firstLine="330" w:firstLineChars="150"/>
        <w:jc w:val="both"/>
      </w:pPr>
      <w:r>
        <w:t xml:space="preserve">1.2.1 沉降观测合同中的标题只是为了方便查阅，不应作为沉降观测合同本身的内容予以理解，也 不应将其用于对沉降观测合同进行解释。 </w:t>
      </w:r>
    </w:p>
    <w:p>
      <w:pPr>
        <w:autoSpaceDE/>
        <w:autoSpaceDN/>
        <w:adjustRightInd w:val="0"/>
        <w:snapToGrid w:val="0"/>
        <w:spacing w:line="360" w:lineRule="auto"/>
        <w:ind w:firstLine="330" w:firstLineChars="150"/>
        <w:jc w:val="both"/>
      </w:pPr>
      <w:r>
        <w:t xml:space="preserve">1.2.2 为了简练文字，沉降观测合同中有些词句或用语可能会有多种含义，阅读时应视上下文的实 际需要而定义。 </w:t>
      </w:r>
    </w:p>
    <w:p>
      <w:pPr>
        <w:autoSpaceDE/>
        <w:autoSpaceDN/>
        <w:adjustRightInd w:val="0"/>
        <w:snapToGrid w:val="0"/>
        <w:spacing w:line="360" w:lineRule="auto"/>
        <w:ind w:firstLine="330" w:firstLineChars="150"/>
        <w:jc w:val="both"/>
      </w:pPr>
      <w:r>
        <w:t xml:space="preserve">1.2.3 组成沉降观测合同的各个文件应该认为是一个整体，彼此相互解释，相互补充，如出现相互 矛盾的情况，以下述文件次序在先者为准： </w:t>
      </w:r>
    </w:p>
    <w:p>
      <w:pPr>
        <w:autoSpaceDE/>
        <w:autoSpaceDN/>
        <w:adjustRightInd w:val="0"/>
        <w:snapToGrid w:val="0"/>
        <w:spacing w:line="360" w:lineRule="auto"/>
        <w:ind w:firstLine="330" w:firstLineChars="150"/>
        <w:jc w:val="both"/>
      </w:pPr>
      <w:r>
        <w:t xml:space="preserve">1.2.3.1 合同协议书及附件； </w:t>
      </w:r>
    </w:p>
    <w:p>
      <w:pPr>
        <w:autoSpaceDE/>
        <w:autoSpaceDN/>
        <w:adjustRightInd w:val="0"/>
        <w:snapToGrid w:val="0"/>
        <w:spacing w:line="360" w:lineRule="auto"/>
        <w:ind w:firstLine="330" w:firstLineChars="150"/>
        <w:jc w:val="both"/>
      </w:pPr>
      <w:r>
        <w:t xml:space="preserve">1.2.3.2 中标通知书； </w:t>
      </w:r>
    </w:p>
    <w:p>
      <w:pPr>
        <w:autoSpaceDE/>
        <w:autoSpaceDN/>
        <w:adjustRightInd w:val="0"/>
        <w:snapToGrid w:val="0"/>
        <w:spacing w:line="360" w:lineRule="auto"/>
        <w:ind w:firstLine="330" w:firstLineChars="150"/>
        <w:jc w:val="both"/>
      </w:pPr>
      <w:r>
        <w:t xml:space="preserve">1.2.3.3 投标函； </w:t>
      </w:r>
    </w:p>
    <w:p>
      <w:pPr>
        <w:autoSpaceDE/>
        <w:autoSpaceDN/>
        <w:adjustRightInd w:val="0"/>
        <w:snapToGrid w:val="0"/>
        <w:spacing w:line="360" w:lineRule="auto"/>
        <w:ind w:firstLine="330" w:firstLineChars="150"/>
        <w:jc w:val="both"/>
      </w:pPr>
      <w:r>
        <w:t xml:space="preserve">1.2.3.4 合同条款； </w:t>
      </w:r>
    </w:p>
    <w:p>
      <w:pPr>
        <w:autoSpaceDE/>
        <w:autoSpaceDN/>
        <w:adjustRightInd w:val="0"/>
        <w:snapToGrid w:val="0"/>
        <w:spacing w:line="360" w:lineRule="auto"/>
        <w:ind w:firstLine="330" w:firstLineChars="150"/>
        <w:jc w:val="both"/>
      </w:pPr>
      <w:r>
        <w:t xml:space="preserve">1.2.3.5 技术标准和要求； </w:t>
      </w:r>
    </w:p>
    <w:p>
      <w:pPr>
        <w:autoSpaceDE/>
        <w:autoSpaceDN/>
        <w:adjustRightInd w:val="0"/>
        <w:snapToGrid w:val="0"/>
        <w:spacing w:line="360" w:lineRule="auto"/>
        <w:ind w:firstLine="330" w:firstLineChars="150"/>
        <w:jc w:val="both"/>
      </w:pPr>
      <w:r>
        <w:t xml:space="preserve">1.2.3.6 报价清单； </w:t>
      </w:r>
    </w:p>
    <w:p>
      <w:pPr>
        <w:autoSpaceDE/>
        <w:autoSpaceDN/>
        <w:adjustRightInd w:val="0"/>
        <w:snapToGrid w:val="0"/>
        <w:spacing w:line="360" w:lineRule="auto"/>
        <w:ind w:firstLine="330" w:firstLineChars="150"/>
        <w:jc w:val="both"/>
      </w:pPr>
      <w:r>
        <w:t>1.2.3.7 在本合同条款中可能规定的构成本合同组成部分的其他文件。 对于同一类合同文件，以其最新版本或最新颁发者为准。</w:t>
      </w:r>
    </w:p>
    <w:p>
      <w:pPr>
        <w:autoSpaceDE/>
        <w:autoSpaceDN/>
        <w:adjustRightInd w:val="0"/>
        <w:snapToGrid w:val="0"/>
        <w:spacing w:line="360" w:lineRule="auto"/>
        <w:ind w:firstLine="330" w:firstLineChars="150"/>
        <w:jc w:val="both"/>
      </w:pPr>
      <w:r>
        <w:t xml:space="preserve">2．监测服务单位的义务 </w:t>
      </w:r>
    </w:p>
    <w:p>
      <w:pPr>
        <w:autoSpaceDE/>
        <w:autoSpaceDN/>
        <w:adjustRightInd w:val="0"/>
        <w:snapToGrid w:val="0"/>
        <w:spacing w:line="360" w:lineRule="auto"/>
        <w:ind w:firstLine="330" w:firstLineChars="150"/>
        <w:jc w:val="both"/>
      </w:pPr>
      <w:r>
        <w:t xml:space="preserve">2.1 沉降观测服务的形式、范围与内容 </w:t>
      </w:r>
    </w:p>
    <w:p>
      <w:pPr>
        <w:autoSpaceDE/>
        <w:autoSpaceDN/>
        <w:adjustRightInd w:val="0"/>
        <w:snapToGrid w:val="0"/>
        <w:spacing w:line="360" w:lineRule="auto"/>
        <w:ind w:firstLine="330" w:firstLineChars="150"/>
        <w:jc w:val="both"/>
      </w:pPr>
      <w:r>
        <w:t xml:space="preserve">2.1.1 应实行科学化、规范化管理，认真执行委托人关于沉降观测工作的各项制度，加强人员培训，规范观测和报告程序，切实做到真实、全面、独立、公正、准确、及时。 </w:t>
      </w:r>
    </w:p>
    <w:p>
      <w:pPr>
        <w:autoSpaceDE/>
        <w:autoSpaceDN/>
        <w:adjustRightInd w:val="0"/>
        <w:snapToGrid w:val="0"/>
        <w:spacing w:line="360" w:lineRule="auto"/>
        <w:ind w:firstLine="330" w:firstLineChars="150"/>
        <w:jc w:val="both"/>
      </w:pPr>
      <w:r>
        <w:t xml:space="preserve">2.1.2 有关规范、规程、标准等技术文件应齐全，监测服务单位员要加强学习，严格按有关标准、规程及规范进行操作，保证沉降观测数据的准确性。 </w:t>
      </w:r>
    </w:p>
    <w:p>
      <w:pPr>
        <w:autoSpaceDE/>
        <w:autoSpaceDN/>
        <w:adjustRightInd w:val="0"/>
        <w:snapToGrid w:val="0"/>
        <w:spacing w:line="360" w:lineRule="auto"/>
        <w:ind w:firstLine="330" w:firstLineChars="150"/>
        <w:jc w:val="both"/>
      </w:pPr>
      <w:r>
        <w:t xml:space="preserve">2.1.3 对沉降观测工作统筹安排，细化工作内容，根据工程情况细化沉降观测总体计划。 </w:t>
      </w:r>
    </w:p>
    <w:p>
      <w:pPr>
        <w:autoSpaceDE/>
        <w:autoSpaceDN/>
        <w:adjustRightInd w:val="0"/>
        <w:snapToGrid w:val="0"/>
        <w:spacing w:line="360" w:lineRule="auto"/>
        <w:ind w:firstLine="330" w:firstLineChars="150"/>
        <w:jc w:val="both"/>
      </w:pPr>
      <w:r>
        <w:t xml:space="preserve">2.1.4 坚持独立观测，保证沉降观测数据真实反映现场情况。 </w:t>
      </w:r>
    </w:p>
    <w:p>
      <w:pPr>
        <w:autoSpaceDE/>
        <w:autoSpaceDN/>
        <w:adjustRightInd w:val="0"/>
        <w:snapToGrid w:val="0"/>
        <w:spacing w:line="360" w:lineRule="auto"/>
        <w:ind w:firstLine="330" w:firstLineChars="150"/>
        <w:jc w:val="both"/>
      </w:pPr>
      <w:r>
        <w:t xml:space="preserve">2.1.5 建立内部工作文件、技术文件的管理及保密制度、加强档案管理。 </w:t>
      </w:r>
    </w:p>
    <w:p>
      <w:pPr>
        <w:autoSpaceDE/>
        <w:autoSpaceDN/>
        <w:adjustRightInd w:val="0"/>
        <w:snapToGrid w:val="0"/>
        <w:spacing w:line="360" w:lineRule="auto"/>
        <w:ind w:firstLine="330" w:firstLineChars="150"/>
        <w:jc w:val="both"/>
      </w:pPr>
      <w:r>
        <w:t xml:space="preserve">2.1.6 保证沉降观测的及时性，及时开展相关沉降观测，及时出具报告，及时上报发现的问题。 </w:t>
      </w:r>
    </w:p>
    <w:p>
      <w:pPr>
        <w:autoSpaceDE/>
        <w:autoSpaceDN/>
        <w:adjustRightInd w:val="0"/>
        <w:snapToGrid w:val="0"/>
        <w:spacing w:line="360" w:lineRule="auto"/>
        <w:ind w:firstLine="330" w:firstLineChars="150"/>
        <w:jc w:val="both"/>
      </w:pPr>
      <w:r>
        <w:t>2.1.7 观测所需电、柴油</w:t>
      </w:r>
      <w:r>
        <w:rPr>
          <w:rFonts w:hint="eastAsia"/>
        </w:rPr>
        <w:t>、测斜管、</w:t>
      </w:r>
      <w:r>
        <w:rPr>
          <w:rFonts w:hint="eastAsia"/>
          <w:lang w:val="en-US"/>
        </w:rPr>
        <w:t>仪器设备</w:t>
      </w:r>
      <w:r>
        <w:t>以及食宿交通</w:t>
      </w:r>
      <w:r>
        <w:rPr>
          <w:rFonts w:hint="eastAsia"/>
          <w:lang w:val="en-US"/>
        </w:rPr>
        <w:t>办公</w:t>
      </w:r>
      <w:r>
        <w:t xml:space="preserve">由监测服务单位自行解决。严禁监测服务单位与相关施工单位发生任何经济联系。制定工作人员守则，加强廉政管理。 </w:t>
      </w:r>
    </w:p>
    <w:p>
      <w:pPr>
        <w:autoSpaceDE/>
        <w:autoSpaceDN/>
        <w:adjustRightInd w:val="0"/>
        <w:snapToGrid w:val="0"/>
        <w:spacing w:line="360" w:lineRule="auto"/>
        <w:ind w:firstLine="330" w:firstLineChars="150"/>
        <w:jc w:val="both"/>
      </w:pPr>
      <w:r>
        <w:t xml:space="preserve">2.1.8 沉降观测项目负责人、外业负责人人员更换必须事先得到委托人批准，但合同执行期间委托人有权要求监测服务单位更换人员。 </w:t>
      </w:r>
    </w:p>
    <w:p>
      <w:pPr>
        <w:autoSpaceDE/>
        <w:autoSpaceDN/>
        <w:adjustRightInd w:val="0"/>
        <w:snapToGrid w:val="0"/>
        <w:spacing w:line="360" w:lineRule="auto"/>
        <w:ind w:firstLine="330" w:firstLineChars="150"/>
        <w:jc w:val="both"/>
      </w:pPr>
      <w:r>
        <w:t xml:space="preserve">2.1.9 为抓好廉洁管理工作，应配备 1 名兼职廉洁管理人员。 </w:t>
      </w:r>
    </w:p>
    <w:p>
      <w:pPr>
        <w:autoSpaceDE/>
        <w:autoSpaceDN/>
        <w:adjustRightInd w:val="0"/>
        <w:snapToGrid w:val="0"/>
        <w:spacing w:line="360" w:lineRule="auto"/>
        <w:ind w:firstLine="330" w:firstLineChars="150"/>
        <w:jc w:val="both"/>
      </w:pPr>
      <w:r>
        <w:t>2.2 沉降观测工作期</w:t>
      </w:r>
      <w:bookmarkStart w:id="19" w:name="_Hlk73554559"/>
      <w:r>
        <w:rPr>
          <w:rFonts w:hint="eastAsia"/>
        </w:rPr>
        <w:t>1</w:t>
      </w:r>
      <w:r>
        <w:t>年</w:t>
      </w:r>
      <w:bookmarkEnd w:id="19"/>
      <w:r>
        <w:t xml:space="preserve">。 </w:t>
      </w:r>
    </w:p>
    <w:p>
      <w:pPr>
        <w:autoSpaceDE/>
        <w:autoSpaceDN/>
        <w:adjustRightInd w:val="0"/>
        <w:snapToGrid w:val="0"/>
        <w:spacing w:line="360" w:lineRule="auto"/>
        <w:ind w:firstLine="330" w:firstLineChars="150"/>
        <w:jc w:val="both"/>
      </w:pPr>
      <w:r>
        <w:t xml:space="preserve">2.3 成果提交 按照委托人要求提交项目沉降观测报告。 </w:t>
      </w:r>
    </w:p>
    <w:p>
      <w:pPr>
        <w:autoSpaceDE/>
        <w:autoSpaceDN/>
        <w:adjustRightInd w:val="0"/>
        <w:snapToGrid w:val="0"/>
        <w:spacing w:line="360" w:lineRule="auto"/>
        <w:ind w:firstLine="330" w:firstLineChars="150"/>
        <w:jc w:val="both"/>
      </w:pPr>
      <w:r>
        <w:t xml:space="preserve">2.4 </w:t>
      </w:r>
      <w:r>
        <w:rPr>
          <w:rFonts w:hint="eastAsia"/>
        </w:rPr>
        <w:t xml:space="preserve">监测方案与监测点位 </w:t>
      </w:r>
      <w:r>
        <w:rPr>
          <w:rFonts w:hint="eastAsia"/>
          <w:b/>
          <w:bCs/>
          <w:sz w:val="23"/>
          <w:szCs w:val="23"/>
        </w:rPr>
        <w:t>委托人提供的监测布点图为本次监测的基础点位图，合同实施时，监测服务单位需在开工前提交监测方案，监测方案可在基础点位图基础上进行适当调整或增加，点位数量不得少于基础点位图图示点位数，且监测方案须征得委托人同意，费用不作调整。</w:t>
      </w:r>
    </w:p>
    <w:p>
      <w:pPr>
        <w:autoSpaceDE/>
        <w:autoSpaceDN/>
        <w:adjustRightInd w:val="0"/>
        <w:snapToGrid w:val="0"/>
        <w:spacing w:line="360" w:lineRule="auto"/>
        <w:ind w:firstLine="330" w:firstLineChars="150"/>
        <w:jc w:val="both"/>
      </w:pPr>
      <w:r>
        <w:t xml:space="preserve">3．委托人的义务 </w:t>
      </w:r>
    </w:p>
    <w:p>
      <w:pPr>
        <w:autoSpaceDE/>
        <w:autoSpaceDN/>
        <w:adjustRightInd w:val="0"/>
        <w:snapToGrid w:val="0"/>
        <w:spacing w:line="360" w:lineRule="auto"/>
        <w:ind w:firstLine="330" w:firstLineChars="150"/>
        <w:jc w:val="both"/>
      </w:pPr>
      <w:r>
        <w:t xml:space="preserve">3.1 沉降观测工作条件 委托人应按照沉降观测合同的规定向监测服务单位提供履行服务所必需的工作条件。 </w:t>
      </w:r>
    </w:p>
    <w:p>
      <w:pPr>
        <w:autoSpaceDE/>
        <w:autoSpaceDN/>
        <w:adjustRightInd w:val="0"/>
        <w:snapToGrid w:val="0"/>
        <w:spacing w:line="360" w:lineRule="auto"/>
        <w:ind w:firstLine="330" w:firstLineChars="150"/>
        <w:jc w:val="both"/>
      </w:pPr>
      <w:r>
        <w:t>3.1.1 文件和资料 委托人在沉降观测合同生效之日起15</w:t>
      </w:r>
      <w:r>
        <w:rPr>
          <w:rFonts w:hint="eastAsia"/>
        </w:rPr>
        <w:t>日内</w:t>
      </w:r>
      <w:r>
        <w:t>，向监测服务单位免费提供相关文件、资料。</w:t>
      </w:r>
    </w:p>
    <w:p>
      <w:pPr>
        <w:autoSpaceDE/>
        <w:autoSpaceDN/>
        <w:adjustRightInd w:val="0"/>
        <w:snapToGrid w:val="0"/>
        <w:spacing w:line="360" w:lineRule="auto"/>
        <w:ind w:firstLine="330" w:firstLineChars="150"/>
        <w:jc w:val="both"/>
      </w:pPr>
      <w:r>
        <w:t xml:space="preserve">3.1.2 其它。 </w:t>
      </w:r>
    </w:p>
    <w:p>
      <w:pPr>
        <w:autoSpaceDE/>
        <w:autoSpaceDN/>
        <w:adjustRightInd w:val="0"/>
        <w:snapToGrid w:val="0"/>
        <w:spacing w:line="360" w:lineRule="auto"/>
        <w:ind w:firstLine="330" w:firstLineChars="150"/>
        <w:jc w:val="both"/>
      </w:pPr>
      <w:r>
        <w:t xml:space="preserve">3.2 决定 委托人应就监测服务单位书面提交并要求答复的重大问题，做出书面决定。 </w:t>
      </w:r>
    </w:p>
    <w:p>
      <w:pPr>
        <w:autoSpaceDE/>
        <w:autoSpaceDN/>
        <w:adjustRightInd w:val="0"/>
        <w:snapToGrid w:val="0"/>
        <w:spacing w:line="360" w:lineRule="auto"/>
        <w:ind w:firstLine="330" w:firstLineChars="150"/>
        <w:jc w:val="both"/>
      </w:pPr>
      <w:r>
        <w:t>3.3 代表 委托人应指定一名授权代表，与监测服务单位的授权代表建立工作联系。更换该代表或变更其授权 时，应提前 7 日通知监测服务单位。</w:t>
      </w:r>
    </w:p>
    <w:p>
      <w:pPr>
        <w:autoSpaceDE/>
        <w:autoSpaceDN/>
        <w:adjustRightInd w:val="0"/>
        <w:snapToGrid w:val="0"/>
        <w:spacing w:line="360" w:lineRule="auto"/>
        <w:ind w:firstLine="330" w:firstLineChars="150"/>
        <w:jc w:val="both"/>
      </w:pPr>
      <w:r>
        <w:t>3.4 授权通知 委托人必须将履行沉降观测服务的监测服务单位及委托人授予监测服务单位的权力，及时用书面形式通知第三方。</w:t>
      </w:r>
    </w:p>
    <w:p>
      <w:pPr>
        <w:autoSpaceDE/>
        <w:autoSpaceDN/>
        <w:adjustRightInd w:val="0"/>
        <w:snapToGrid w:val="0"/>
        <w:spacing w:line="360" w:lineRule="auto"/>
        <w:ind w:firstLine="330" w:firstLineChars="150"/>
        <w:jc w:val="both"/>
      </w:pPr>
      <w:r>
        <w:t xml:space="preserve">3.5 支付费用 委托人须按合同约定向监测服务单位支付沉降观测服务费用。 </w:t>
      </w:r>
    </w:p>
    <w:p>
      <w:pPr>
        <w:autoSpaceDE/>
        <w:autoSpaceDN/>
        <w:adjustRightInd w:val="0"/>
        <w:snapToGrid w:val="0"/>
        <w:spacing w:line="360" w:lineRule="auto"/>
        <w:ind w:firstLine="330" w:firstLineChars="150"/>
        <w:jc w:val="both"/>
      </w:pPr>
      <w:r>
        <w:t xml:space="preserve">4．责任和保障 </w:t>
      </w:r>
    </w:p>
    <w:p>
      <w:pPr>
        <w:autoSpaceDE/>
        <w:autoSpaceDN/>
        <w:adjustRightInd w:val="0"/>
        <w:snapToGrid w:val="0"/>
        <w:spacing w:line="360" w:lineRule="auto"/>
        <w:ind w:firstLine="330" w:firstLineChars="150"/>
        <w:jc w:val="both"/>
      </w:pPr>
      <w:r>
        <w:t xml:space="preserve">4.1 监测服务单位的违约及赔偿责任 </w:t>
      </w:r>
    </w:p>
    <w:p>
      <w:pPr>
        <w:autoSpaceDE/>
        <w:autoSpaceDN/>
        <w:adjustRightInd w:val="0"/>
        <w:snapToGrid w:val="0"/>
        <w:spacing w:line="360" w:lineRule="auto"/>
        <w:ind w:firstLine="330" w:firstLineChars="150"/>
        <w:jc w:val="both"/>
      </w:pPr>
      <w:r>
        <w:t xml:space="preserve">4.1.1 监测服务单位的违约 </w:t>
      </w:r>
    </w:p>
    <w:p>
      <w:pPr>
        <w:autoSpaceDE/>
        <w:autoSpaceDN/>
        <w:adjustRightInd w:val="0"/>
        <w:snapToGrid w:val="0"/>
        <w:spacing w:line="360" w:lineRule="auto"/>
        <w:ind w:firstLine="330" w:firstLineChars="150"/>
        <w:jc w:val="both"/>
      </w:pPr>
      <w:r>
        <w:t>4.1.1.1 监测服务单位违反沉降观测合同的规定，将沉降观测服务的任何部分转让或分包</w:t>
      </w:r>
      <w:r>
        <w:rPr>
          <w:rFonts w:hint="eastAsia"/>
        </w:rPr>
        <w:t>，</w:t>
      </w:r>
      <w:r>
        <w:t>委托人可单方面终止合同</w:t>
      </w:r>
      <w:r>
        <w:rPr>
          <w:rFonts w:hint="eastAsia"/>
        </w:rPr>
        <w:t>，并要求监测服务单位退还全部费用，同时，委托人有权要求监测服务单位支付合同款项5</w:t>
      </w:r>
      <w:r>
        <w:t>%的违</w:t>
      </w:r>
      <w:r>
        <w:rPr>
          <w:rFonts w:hint="eastAsia"/>
        </w:rPr>
        <w:t>约金</w:t>
      </w:r>
      <w:r>
        <w:t xml:space="preserve">； </w:t>
      </w:r>
    </w:p>
    <w:p>
      <w:pPr>
        <w:autoSpaceDE/>
        <w:autoSpaceDN/>
        <w:adjustRightInd w:val="0"/>
        <w:snapToGrid w:val="0"/>
        <w:spacing w:line="360" w:lineRule="auto"/>
        <w:ind w:firstLine="330" w:firstLineChars="150"/>
        <w:jc w:val="both"/>
      </w:pPr>
      <w:r>
        <w:t xml:space="preserve">4.1.1.2 监测服务单位未能按照投标文件的承诺配备满足沉降观测服务需求的人员或设备： 合同签订后，未经委托人书面同意，监测服务单位的主要检测人员不得更换。经上报委托人同意后确需进行更换的，仍按下列规定扣除违约金：更换项目负责人 0.5万元/人·次、更换外业负责人、内业负责人或其他主要人员扣除违约金 0.2万元/人·次、更换其他人员扣除违约金 0.1万元/人·次。监测服务单位投入的项目负责人在工程实施过程中因死亡或存在重伤、重大疾病而无法继续履行职责的，必须经委托人（项目实施管理部门）核实确认，必要时还需至委托人指定的三级甲等医院核实确认。除死亡或存在重伤、重大疾病外，其余任何情况而无法继续履行相应职责的人员，均一律不免除处罚。违约金将直接在合同价款中扣减，同时更换出的人员 5 年内不得作为项目主要人员参与委托人管理的项目的投标。 </w:t>
      </w:r>
    </w:p>
    <w:p>
      <w:pPr>
        <w:autoSpaceDE/>
        <w:autoSpaceDN/>
        <w:adjustRightInd w:val="0"/>
        <w:snapToGrid w:val="0"/>
        <w:spacing w:line="360" w:lineRule="auto"/>
        <w:ind w:firstLine="330" w:firstLineChars="150"/>
        <w:jc w:val="both"/>
      </w:pPr>
      <w:r>
        <w:t>4.1.1.3 监测服务单位不履行沉降观测职责，造成工程质量、安全事故，委托人可单方面终止合同</w:t>
      </w:r>
      <w:r>
        <w:rPr>
          <w:rFonts w:hint="eastAsia"/>
        </w:rPr>
        <w:t>，并要求监测服务单位退还全部费用，同时，委托人有权要求监测服务单位支付合同款项5</w:t>
      </w:r>
      <w:r>
        <w:t>%的违</w:t>
      </w:r>
      <w:r>
        <w:rPr>
          <w:rFonts w:hint="eastAsia"/>
        </w:rPr>
        <w:t>约金，</w:t>
      </w:r>
      <w:r>
        <w:t>给委托人造成损失</w:t>
      </w:r>
      <w:r>
        <w:rPr>
          <w:rFonts w:hint="eastAsia"/>
        </w:rPr>
        <w:t>由</w:t>
      </w:r>
      <w:r>
        <w:t>监测服务单位</w:t>
      </w:r>
      <w:r>
        <w:rPr>
          <w:rFonts w:hint="eastAsia"/>
        </w:rPr>
        <w:t>承担</w:t>
      </w:r>
      <w:r>
        <w:t xml:space="preserve">； </w:t>
      </w:r>
    </w:p>
    <w:p>
      <w:pPr>
        <w:autoSpaceDE/>
        <w:autoSpaceDN/>
        <w:adjustRightInd w:val="0"/>
        <w:snapToGrid w:val="0"/>
        <w:spacing w:line="360" w:lineRule="auto"/>
        <w:ind w:firstLine="330" w:firstLineChars="150"/>
        <w:jc w:val="both"/>
      </w:pPr>
      <w:r>
        <w:t>4.1.1.4 监测服务单位如发生提供虚假检测报告等违约行为，则委托人可单方面终止合同，</w:t>
      </w:r>
      <w:r>
        <w:rPr>
          <w:rFonts w:hint="eastAsia"/>
        </w:rPr>
        <w:t>并要求监测服务单位退还全部费用，同时，委托人有权要求监测服务单位支付合同款项5</w:t>
      </w:r>
      <w:r>
        <w:t>%的违</w:t>
      </w:r>
      <w:r>
        <w:rPr>
          <w:rFonts w:hint="eastAsia"/>
        </w:rPr>
        <w:t>约金，</w:t>
      </w:r>
      <w:r>
        <w:t xml:space="preserve">保留进一步索赔的权力，并另选合适的监测服务单位执行剩余合同。 </w:t>
      </w:r>
    </w:p>
    <w:p>
      <w:pPr>
        <w:autoSpaceDE/>
        <w:autoSpaceDN/>
        <w:adjustRightInd w:val="0"/>
        <w:snapToGrid w:val="0"/>
        <w:spacing w:line="360" w:lineRule="auto"/>
        <w:ind w:firstLine="330" w:firstLineChars="150"/>
        <w:jc w:val="both"/>
      </w:pPr>
      <w:r>
        <w:t>4.1.1.5 如发生因投入观测人员和设备不足导致影响施工进度、或检测报告错误较多、或沉降观测报告未能及时提交等违约行为，则委托人有权扣减观测费作为</w:t>
      </w:r>
      <w:r>
        <w:rPr>
          <w:rFonts w:hint="eastAsia"/>
        </w:rPr>
        <w:t>违约金</w:t>
      </w:r>
      <w:r>
        <w:t xml:space="preserve">直至全部扣完。 </w:t>
      </w:r>
    </w:p>
    <w:p>
      <w:pPr>
        <w:autoSpaceDE/>
        <w:autoSpaceDN/>
        <w:adjustRightInd w:val="0"/>
        <w:snapToGrid w:val="0"/>
        <w:spacing w:line="360" w:lineRule="auto"/>
        <w:ind w:firstLine="330" w:firstLineChars="150"/>
        <w:jc w:val="both"/>
      </w:pPr>
      <w:r>
        <w:t xml:space="preserve">4.1.1.6 违反合同规定的其他重要规定。监测服务单位承担违约责任，委托人在向监测服务单位发出书面通知的 14 天内未见纠正后，可以向监测服务单位扣除相应的违约金，并可在 21 天内发出第二次通知终止合同。在 4.1.1.1 或 4.1.1.3 情况下，委托人可发出书面通知立即终止合同。 </w:t>
      </w:r>
    </w:p>
    <w:p>
      <w:pPr>
        <w:autoSpaceDE/>
        <w:autoSpaceDN/>
        <w:adjustRightInd w:val="0"/>
        <w:snapToGrid w:val="0"/>
        <w:spacing w:line="360" w:lineRule="auto"/>
        <w:ind w:firstLine="330" w:firstLineChars="150"/>
        <w:jc w:val="both"/>
      </w:pPr>
      <w:r>
        <w:t>4.1.2 监测服务单位的违约赔偿责任</w:t>
      </w:r>
      <w:r>
        <w:rPr>
          <w:rFonts w:hint="eastAsia"/>
        </w:rPr>
        <w:t>。</w:t>
      </w:r>
      <w:r>
        <w:t>监测服务单位违反</w:t>
      </w:r>
      <w:r>
        <w:rPr>
          <w:rFonts w:hint="eastAsia"/>
        </w:rPr>
        <w:t>本</w:t>
      </w:r>
      <w:r>
        <w:t>合同的规定并造成委托人的经济损失，</w:t>
      </w:r>
      <w:r>
        <w:rPr>
          <w:rFonts w:hint="eastAsia"/>
        </w:rPr>
        <w:t>应将直接经济损失金额乘以监测服务单位承担责任比例向委托人进行赔偿</w:t>
      </w:r>
      <w:r>
        <w:t xml:space="preserve">。监测服务单位对因第三方责任造成的任何经济损失，不承担责任。如果监测服务单位与委托人或第三方对有关经济损失共负责任时，应按责任比例计算赔偿。 </w:t>
      </w:r>
    </w:p>
    <w:p>
      <w:pPr>
        <w:autoSpaceDE/>
        <w:autoSpaceDN/>
        <w:adjustRightInd w:val="0"/>
        <w:snapToGrid w:val="0"/>
        <w:spacing w:line="360" w:lineRule="auto"/>
        <w:ind w:firstLine="330" w:firstLineChars="150"/>
        <w:jc w:val="both"/>
      </w:pPr>
      <w:r>
        <w:t xml:space="preserve">4.1.3 监测服务单位对委托人未授权的服务项目或内容不承担沉降观测责任。 </w:t>
      </w:r>
    </w:p>
    <w:p>
      <w:pPr>
        <w:autoSpaceDE/>
        <w:autoSpaceDN/>
        <w:adjustRightInd w:val="0"/>
        <w:snapToGrid w:val="0"/>
        <w:spacing w:line="360" w:lineRule="auto"/>
        <w:ind w:firstLine="330" w:firstLineChars="150"/>
        <w:jc w:val="both"/>
      </w:pPr>
      <w:r>
        <w:t>4.2 委托人的赔偿责任</w:t>
      </w:r>
      <w:r>
        <w:rPr>
          <w:rFonts w:hint="eastAsia"/>
        </w:rPr>
        <w:t>。</w:t>
      </w:r>
      <w:r>
        <w:t xml:space="preserve">委托人违反沉降观测合同的规定并造成监测服务单位的经济损失，应在中期支付中计列相应费用向监测服务单位赔偿。 </w:t>
      </w:r>
    </w:p>
    <w:p>
      <w:pPr>
        <w:autoSpaceDE/>
        <w:autoSpaceDN/>
        <w:adjustRightInd w:val="0"/>
        <w:snapToGrid w:val="0"/>
        <w:spacing w:line="360" w:lineRule="auto"/>
        <w:ind w:firstLine="330" w:firstLineChars="150"/>
        <w:jc w:val="both"/>
      </w:pPr>
      <w:r>
        <w:t xml:space="preserve">4.3 保障 </w:t>
      </w:r>
    </w:p>
    <w:p>
      <w:pPr>
        <w:autoSpaceDE/>
        <w:autoSpaceDN/>
        <w:adjustRightInd w:val="0"/>
        <w:snapToGrid w:val="0"/>
        <w:spacing w:line="360" w:lineRule="auto"/>
        <w:ind w:firstLine="330" w:firstLineChars="150"/>
        <w:jc w:val="both"/>
      </w:pPr>
      <w:r>
        <w:t xml:space="preserve">4.3.1 在监测服务单位不违反有关法律、法规的前提下，委托人应保障监测服务单位免受因履行本沉降观测合同而引起的外界索赔或干扰。 </w:t>
      </w:r>
    </w:p>
    <w:p>
      <w:pPr>
        <w:autoSpaceDE/>
        <w:autoSpaceDN/>
        <w:adjustRightInd w:val="0"/>
        <w:snapToGrid w:val="0"/>
        <w:spacing w:line="360" w:lineRule="auto"/>
        <w:ind w:firstLine="330" w:firstLineChars="150"/>
        <w:jc w:val="both"/>
      </w:pPr>
      <w:r>
        <w:t>4.3.2 监测服务单位在签订沉降观测合同协议书时应按照委托人认可的形式向委托人递交履约保函或履约保证金</w:t>
      </w:r>
      <w:r>
        <w:rPr>
          <w:rFonts w:hint="eastAsia"/>
        </w:rPr>
        <w:t>，</w:t>
      </w:r>
      <w:r>
        <w:t>履约保函或履约保证金</w:t>
      </w:r>
      <w:r>
        <w:rPr>
          <w:rFonts w:hint="eastAsia"/>
        </w:rPr>
        <w:t>金额为</w:t>
      </w:r>
      <w:r>
        <w:rPr>
          <w:sz w:val="23"/>
          <w:szCs w:val="23"/>
        </w:rPr>
        <w:t>5%</w:t>
      </w:r>
      <w:r>
        <w:rPr>
          <w:rFonts w:hint="eastAsia"/>
          <w:sz w:val="23"/>
          <w:szCs w:val="23"/>
        </w:rPr>
        <w:t>签约合同价</w:t>
      </w:r>
      <w:r>
        <w:t>。如果监测服务单位无正当理由全部或部分不履行本沉降观测合同时，委托人有权根据具体情况没收全部或部分履约保证金。承包人提交的履约保证金采用银行保函形式的，其履约保函有效期应按照要求填写，如其履约保函采用固定有效期，其失效日期应不早于2022年</w:t>
      </w:r>
      <w:r>
        <w:rPr>
          <w:lang w:val="en-US"/>
        </w:rPr>
        <w:t>8</w:t>
      </w:r>
      <w:r>
        <w:t>月</w:t>
      </w:r>
      <w:r>
        <w:rPr>
          <w:rFonts w:hint="eastAsia"/>
          <w:lang w:val="en-US"/>
        </w:rPr>
        <w:t>底</w:t>
      </w:r>
      <w:r>
        <w:t>。若发生以下情况，承包人需提供相应书面承诺（承诺书格式自拟，内容应包含承包人承诺在已办理的履约保函有效期期满前三个月，办理后续补充保函，并按照要求延长担保有效期），承诺书需承包人法定代表人亲笔签名并加盖单位公章。需出具承诺的情况：（a）银行开具的保函无法办理到上述规定的失效日期；（b）项目因实际情况推迟交工验收日期。办理履约保函所需的一切费用由承包人承担，并</w:t>
      </w:r>
      <w:r>
        <w:rPr>
          <w:rFonts w:hint="eastAsia"/>
        </w:rPr>
        <w:t>已</w:t>
      </w:r>
      <w:r>
        <w:t xml:space="preserve">在投标报价中充分考虑。 </w:t>
      </w:r>
    </w:p>
    <w:p>
      <w:pPr>
        <w:autoSpaceDE/>
        <w:autoSpaceDN/>
        <w:adjustRightInd w:val="0"/>
        <w:snapToGrid w:val="0"/>
        <w:spacing w:line="360" w:lineRule="auto"/>
        <w:ind w:firstLine="330" w:firstLineChars="150"/>
        <w:jc w:val="both"/>
      </w:pPr>
      <w:r>
        <w:t>4.3.3 在监测服务单位</w:t>
      </w:r>
      <w:r>
        <w:rPr>
          <w:rFonts w:hint="eastAsia"/>
          <w:lang w:val="en-US"/>
        </w:rPr>
        <w:t>完成本合同全部工作内容并经</w:t>
      </w:r>
      <w:r>
        <w:t>委托人认可后 28 日内，委托人向监测服务单位返还100%的履约保证金</w:t>
      </w:r>
      <w:r>
        <w:rPr>
          <w:rFonts w:hint="eastAsia"/>
          <w:lang w:val="en-US"/>
        </w:rPr>
        <w:t>或退还履约保函，如发生违约金或其他赔偿项目，委托人在扣除后返还相应保证金或退还履约保函</w:t>
      </w:r>
      <w:r>
        <w:rPr>
          <w:rFonts w:hint="eastAsia"/>
        </w:rPr>
        <w:t>。</w:t>
      </w:r>
    </w:p>
    <w:p>
      <w:pPr>
        <w:autoSpaceDE/>
        <w:autoSpaceDN/>
        <w:adjustRightInd w:val="0"/>
        <w:snapToGrid w:val="0"/>
        <w:spacing w:line="360" w:lineRule="auto"/>
        <w:ind w:firstLine="330" w:firstLineChars="150"/>
        <w:jc w:val="both"/>
      </w:pPr>
      <w:r>
        <w:t xml:space="preserve">4.4 保险 监测服务单位应在沉降观测服务期内，自费办理指派到项目所在地的人员人身和自备财产的有关保险，保险时间应随服务时间的延长而顺延，并在出险后自行办理索赔。如果监测服务单位不办理上述保险，则应对有关风险及后果自负其责。 </w:t>
      </w:r>
    </w:p>
    <w:p>
      <w:pPr>
        <w:autoSpaceDE/>
        <w:autoSpaceDN/>
        <w:adjustRightInd w:val="0"/>
        <w:snapToGrid w:val="0"/>
        <w:spacing w:line="360" w:lineRule="auto"/>
        <w:ind w:firstLine="330" w:firstLineChars="150"/>
        <w:jc w:val="both"/>
      </w:pPr>
      <w:r>
        <w:t xml:space="preserve">5．沉降观测合同的生效、终止、变更、暂停与解除 </w:t>
      </w:r>
    </w:p>
    <w:p>
      <w:pPr>
        <w:autoSpaceDE/>
        <w:autoSpaceDN/>
        <w:adjustRightInd w:val="0"/>
        <w:snapToGrid w:val="0"/>
        <w:spacing w:line="360" w:lineRule="auto"/>
        <w:ind w:firstLine="330" w:firstLineChars="150"/>
        <w:jc w:val="both"/>
      </w:pPr>
      <w:r>
        <w:t xml:space="preserve">5.1 沉降观测合同协议书的生效 沉降观测合同协议书生效的时间，以双方签署的协议书上约定的时间为准。 </w:t>
      </w:r>
    </w:p>
    <w:p>
      <w:pPr>
        <w:autoSpaceDE/>
        <w:autoSpaceDN/>
        <w:adjustRightInd w:val="0"/>
        <w:snapToGrid w:val="0"/>
        <w:spacing w:line="360" w:lineRule="auto"/>
        <w:ind w:firstLine="330" w:firstLineChars="150"/>
        <w:jc w:val="both"/>
      </w:pPr>
      <w:r>
        <w:t xml:space="preserve">5.2 沉降观测服务的时间和期限 监测服务单位必须按照规定的时间和有关期限履行和完成沉降观测服务。如果非监测服务单位的原因，致使沉降观测服务时间需要延长，双方应通过协商，另行签订补充协议。 </w:t>
      </w:r>
    </w:p>
    <w:p>
      <w:pPr>
        <w:autoSpaceDE/>
        <w:autoSpaceDN/>
        <w:adjustRightInd w:val="0"/>
        <w:snapToGrid w:val="0"/>
        <w:spacing w:line="360" w:lineRule="auto"/>
        <w:ind w:firstLine="330" w:firstLineChars="150"/>
        <w:jc w:val="both"/>
      </w:pPr>
      <w:r>
        <w:t xml:space="preserve">5.3 沉降观测合同的终止沉降观测合同终止和失效的时间，按双方签署的协议书上注明的方式确定。沉降观测合同失效后，双方均不再受本沉降观测合同的约束。 </w:t>
      </w:r>
    </w:p>
    <w:p>
      <w:pPr>
        <w:autoSpaceDE/>
        <w:autoSpaceDN/>
        <w:adjustRightInd w:val="0"/>
        <w:snapToGrid w:val="0"/>
        <w:spacing w:line="360" w:lineRule="auto"/>
        <w:ind w:firstLine="330" w:firstLineChars="150"/>
        <w:jc w:val="both"/>
      </w:pPr>
      <w:r>
        <w:t xml:space="preserve">5.4 沉降观测合同的变更 </w:t>
      </w:r>
    </w:p>
    <w:p>
      <w:pPr>
        <w:autoSpaceDE/>
        <w:autoSpaceDN/>
        <w:adjustRightInd w:val="0"/>
        <w:snapToGrid w:val="0"/>
        <w:spacing w:line="360" w:lineRule="auto"/>
        <w:ind w:firstLine="330" w:firstLineChars="150"/>
        <w:jc w:val="both"/>
      </w:pPr>
      <w:r>
        <w:t xml:space="preserve">5.4.1 任何一方提出申请并经双方书面同意后，可对本沉降观测合同进行变更。 </w:t>
      </w:r>
    </w:p>
    <w:p>
      <w:pPr>
        <w:autoSpaceDE/>
        <w:autoSpaceDN/>
        <w:adjustRightInd w:val="0"/>
        <w:snapToGrid w:val="0"/>
        <w:spacing w:line="360" w:lineRule="auto"/>
        <w:ind w:firstLine="330" w:firstLineChars="150"/>
        <w:jc w:val="both"/>
      </w:pPr>
      <w:r>
        <w:t xml:space="preserve">5.4.2 委托人可书面要求，改变本合同条款第 2.1 款和沉降观测合同规定的沉降观测服务的形式、 范围与内容，但必须在双方协商一致的基础上，按照本沉降观测合同的规定进行变更。上述变更导致 增加或减少的沉降观测服务工作量，其有关的沉降观测费用和服务时间亦应做相应的调整。 </w:t>
      </w:r>
    </w:p>
    <w:p>
      <w:pPr>
        <w:autoSpaceDE/>
        <w:autoSpaceDN/>
        <w:adjustRightInd w:val="0"/>
        <w:snapToGrid w:val="0"/>
        <w:spacing w:line="360" w:lineRule="auto"/>
        <w:ind w:firstLine="330" w:firstLineChars="150"/>
        <w:jc w:val="both"/>
      </w:pPr>
      <w:r>
        <w:t>5.4.3 因委托人</w:t>
      </w:r>
      <w:r>
        <w:rPr>
          <w:rFonts w:hint="eastAsia"/>
        </w:rPr>
        <w:t>单方</w:t>
      </w:r>
      <w:r>
        <w:t xml:space="preserve">责任，阻碍或延误了监测服务单位履行沉降观测服务，监测服务单位应及时 将该情况与其可能产生的影响书面通知委托人，如有必要，在双方协商一致的基础上对沉降观测合同 进行相应的变更。上述情况导致增加的沉降观测服务工作量或工作时间，应作为监测服务单位附加服务，监测服务单位完成相应服务的时间亦应予以延长。 </w:t>
      </w:r>
    </w:p>
    <w:p>
      <w:pPr>
        <w:autoSpaceDE/>
        <w:autoSpaceDN/>
        <w:adjustRightInd w:val="0"/>
        <w:snapToGrid w:val="0"/>
        <w:spacing w:line="360" w:lineRule="auto"/>
        <w:ind w:firstLine="330" w:firstLineChars="150"/>
        <w:jc w:val="both"/>
      </w:pPr>
      <w:r>
        <w:t xml:space="preserve">5.5 沉降观测合同的暂停与解除 </w:t>
      </w:r>
    </w:p>
    <w:p>
      <w:pPr>
        <w:autoSpaceDE/>
        <w:autoSpaceDN/>
        <w:adjustRightInd w:val="0"/>
        <w:snapToGrid w:val="0"/>
        <w:spacing w:line="360" w:lineRule="auto"/>
        <w:ind w:firstLine="330" w:firstLineChars="150"/>
        <w:jc w:val="both"/>
      </w:pPr>
      <w:r>
        <w:t xml:space="preserve">5.5.1 出现根据本沉降观测合同的规定不应由监测服务单位负责的情况，且该情况已使监测服务单位不 能继续履行全部或部分沉降观测服务时，监测服务单位应立即书面通知委托人。并且： </w:t>
      </w:r>
    </w:p>
    <w:p>
      <w:pPr>
        <w:autoSpaceDE/>
        <w:autoSpaceDN/>
        <w:adjustRightInd w:val="0"/>
        <w:snapToGrid w:val="0"/>
        <w:spacing w:line="360" w:lineRule="auto"/>
        <w:ind w:firstLine="330" w:firstLineChars="150"/>
        <w:jc w:val="both"/>
      </w:pPr>
      <w:r>
        <w:t>5.5.1.1 不得不暂停或减缓某些沉降观测服务时，则上述服务的完成期限应予以延长，因此而增加 的沉降观测服务工作量或延长的服务时间应作为监测服务单位附加的服务；</w:t>
      </w:r>
    </w:p>
    <w:p>
      <w:pPr>
        <w:autoSpaceDE/>
        <w:autoSpaceDN/>
        <w:adjustRightInd w:val="0"/>
        <w:snapToGrid w:val="0"/>
        <w:spacing w:line="360" w:lineRule="auto"/>
        <w:ind w:firstLine="330" w:firstLineChars="150"/>
        <w:jc w:val="both"/>
      </w:pPr>
      <w:r>
        <w:t xml:space="preserve"> 5.5.1.2 全部沉降观测服务已无法继续履行时，监测服务单位在书面通知委托人 28 日之后，</w:t>
      </w:r>
      <w:r>
        <w:rPr>
          <w:rFonts w:hint="eastAsia"/>
        </w:rPr>
        <w:t>经双方协商一致后可</w:t>
      </w:r>
      <w:r>
        <w:t xml:space="preserve">解除本沉降观测合同，因此而增加的沉降观测服务工作量应作为监测服务单位附加的服务。委托人应 及时向监测服务单位返还全部或剩余部分的履约保证金； </w:t>
      </w:r>
    </w:p>
    <w:p>
      <w:pPr>
        <w:autoSpaceDE/>
        <w:autoSpaceDN/>
        <w:adjustRightInd w:val="0"/>
        <w:snapToGrid w:val="0"/>
        <w:spacing w:line="360" w:lineRule="auto"/>
        <w:ind w:firstLine="330" w:firstLineChars="150"/>
        <w:jc w:val="both"/>
      </w:pPr>
      <w:r>
        <w:t xml:space="preserve">5.5.1.3 因不可抗力致使本沉降观测合同不能履行或只能部分履行时，相关规定详见通用合同条款 第 7 条“其它”中第 7.7 款“不可抗力”。 </w:t>
      </w:r>
    </w:p>
    <w:p>
      <w:pPr>
        <w:autoSpaceDE/>
        <w:autoSpaceDN/>
        <w:adjustRightInd w:val="0"/>
        <w:snapToGrid w:val="0"/>
        <w:spacing w:line="360" w:lineRule="auto"/>
        <w:ind w:firstLine="330" w:firstLineChars="150"/>
        <w:jc w:val="both"/>
      </w:pPr>
      <w:r>
        <w:t>5.5.2 委托人</w:t>
      </w:r>
      <w:r>
        <w:rPr>
          <w:rFonts w:hint="eastAsia"/>
        </w:rPr>
        <w:t>无正当理由</w:t>
      </w:r>
      <w:r>
        <w:t xml:space="preserve">要求监测服务单位全部或部分暂停沉降观测服务或解除本沉降观测合同时，必须在 56 日之前发出书面通知。监测服务单位在接到通知后，应立即安排停止全部或该部分沉降观测服务并将相 关费用开支减至最小。因此而增加的沉降观测服务工作量应作为监测服务单位附加的服务，委托人应及时向监测服务单位返还全部或剩余部分的履约保证金。 </w:t>
      </w:r>
    </w:p>
    <w:p>
      <w:pPr>
        <w:autoSpaceDE/>
        <w:autoSpaceDN/>
        <w:adjustRightInd w:val="0"/>
        <w:snapToGrid w:val="0"/>
        <w:spacing w:line="360" w:lineRule="auto"/>
        <w:ind w:firstLine="330" w:firstLineChars="150"/>
        <w:jc w:val="both"/>
      </w:pPr>
      <w:r>
        <w:t xml:space="preserve">5.5.3 监测服务单位无正当的理由，未根据沉降观测合同的规定履行全部或部分沉降观测服务，委托人可单方面解除本沉降观测合同，并视情况没收监测服务单位的全部或部分履约保证金。 </w:t>
      </w:r>
    </w:p>
    <w:p>
      <w:pPr>
        <w:autoSpaceDE/>
        <w:autoSpaceDN/>
        <w:adjustRightInd w:val="0"/>
        <w:snapToGrid w:val="0"/>
        <w:spacing w:line="360" w:lineRule="auto"/>
        <w:ind w:firstLine="330" w:firstLineChars="150"/>
        <w:jc w:val="both"/>
      </w:pPr>
      <w:r>
        <w:t>5.5.4 委托人拖延支付沉降观测服务费用，并已超过规定支付期限后 28 日，或根据本合同条款第 5.5.1.1 条或第 5.5.2 项的规定，暂停沉降观测服务已超过 6 个月，监测服务单位可书面要求委托人予以解释。</w:t>
      </w:r>
    </w:p>
    <w:p>
      <w:pPr>
        <w:autoSpaceDE/>
        <w:autoSpaceDN/>
        <w:adjustRightInd w:val="0"/>
        <w:snapToGrid w:val="0"/>
        <w:spacing w:line="360" w:lineRule="auto"/>
        <w:ind w:firstLine="330" w:firstLineChars="150"/>
        <w:jc w:val="both"/>
      </w:pPr>
      <w:r>
        <w:t xml:space="preserve">5.5.5 沉降观测合同的解除，不得损害或影响双方根据本沉降观测合同应有的义务、责任、权力和 利益。 </w:t>
      </w:r>
    </w:p>
    <w:p>
      <w:pPr>
        <w:autoSpaceDE/>
        <w:autoSpaceDN/>
        <w:adjustRightInd w:val="0"/>
        <w:snapToGrid w:val="0"/>
        <w:spacing w:line="360" w:lineRule="auto"/>
        <w:ind w:firstLine="330" w:firstLineChars="150"/>
        <w:jc w:val="both"/>
      </w:pPr>
      <w:r>
        <w:t xml:space="preserve">5.6 转让和分包 </w:t>
      </w:r>
    </w:p>
    <w:p>
      <w:pPr>
        <w:autoSpaceDE/>
        <w:autoSpaceDN/>
        <w:adjustRightInd w:val="0"/>
        <w:snapToGrid w:val="0"/>
        <w:spacing w:line="360" w:lineRule="auto"/>
        <w:ind w:firstLine="330" w:firstLineChars="150"/>
        <w:jc w:val="both"/>
      </w:pPr>
      <w:r>
        <w:t xml:space="preserve">5.6.1 监测服务单位不得将其承包的全部工程沉降观测业务转让给第三人。 </w:t>
      </w:r>
    </w:p>
    <w:p>
      <w:pPr>
        <w:autoSpaceDE/>
        <w:autoSpaceDN/>
        <w:adjustRightInd w:val="0"/>
        <w:snapToGrid w:val="0"/>
        <w:spacing w:line="360" w:lineRule="auto"/>
        <w:ind w:firstLine="330" w:firstLineChars="150"/>
        <w:jc w:val="both"/>
      </w:pPr>
      <w:r>
        <w:t>5.6.2 除</w:t>
      </w:r>
      <w:r>
        <w:rPr>
          <w:rFonts w:hint="eastAsia"/>
        </w:rPr>
        <w:t>本</w:t>
      </w:r>
      <w:r>
        <w:t xml:space="preserve">合同条款另有约定外，未经委托人同意，监测服务单位不得将沉降观测服务的任何部分分包。监测服务单位因沉降观测服务的需要，聘用专业技术人员和辅助工作人员不属于分包。 </w:t>
      </w:r>
    </w:p>
    <w:p>
      <w:pPr>
        <w:autoSpaceDE/>
        <w:autoSpaceDN/>
        <w:adjustRightInd w:val="0"/>
        <w:snapToGrid w:val="0"/>
        <w:spacing w:line="360" w:lineRule="auto"/>
        <w:ind w:firstLine="330" w:firstLineChars="150"/>
        <w:jc w:val="both"/>
      </w:pPr>
      <w:r>
        <w:t>6．沉降观测服务的费用与支付。</w:t>
      </w:r>
    </w:p>
    <w:p>
      <w:pPr>
        <w:autoSpaceDE/>
        <w:autoSpaceDN/>
        <w:adjustRightInd w:val="0"/>
        <w:snapToGrid w:val="0"/>
        <w:spacing w:line="360" w:lineRule="auto"/>
        <w:ind w:firstLine="330" w:firstLineChars="150"/>
        <w:jc w:val="both"/>
      </w:pPr>
      <w:r>
        <w:t>6.1 沉降观测费应是完成沉降观测工作所需要的全部费用（含保险、利润、税金）。委托人拒绝监测服务单位以任何理由要求上调合同价格</w:t>
      </w:r>
      <w:r>
        <w:rPr>
          <w:rFonts w:hint="eastAsia"/>
        </w:rPr>
        <w:t>或</w:t>
      </w:r>
      <w:r>
        <w:t xml:space="preserve">拖延执行合同。 </w:t>
      </w:r>
    </w:p>
    <w:p>
      <w:pPr>
        <w:autoSpaceDE/>
        <w:autoSpaceDN/>
        <w:adjustRightInd w:val="0"/>
        <w:snapToGrid w:val="0"/>
        <w:spacing w:line="360" w:lineRule="auto"/>
        <w:ind w:firstLine="330" w:firstLineChars="150"/>
        <w:jc w:val="both"/>
      </w:pPr>
      <w:r>
        <w:t>6.2 费用支付：沉降观测项目为</w:t>
      </w:r>
      <w:r>
        <w:rPr>
          <w:rFonts w:hint="eastAsia"/>
        </w:rPr>
        <w:t>总</w:t>
      </w:r>
      <w:r>
        <w:t>价合同。沉降观测费用每半年支付一次，</w:t>
      </w:r>
      <w:r>
        <w:rPr>
          <w:rFonts w:hint="eastAsia"/>
        </w:rPr>
        <w:t>经发包人确定监测服务单位已完成相应工作后，每</w:t>
      </w:r>
      <w:r>
        <w:t>次支付</w:t>
      </w:r>
      <w:r>
        <w:rPr>
          <w:rFonts w:hint="eastAsia"/>
        </w:rPr>
        <w:t>合同价</w:t>
      </w:r>
      <w:r>
        <w:t>50％的费用</w:t>
      </w:r>
      <w:r>
        <w:rPr>
          <w:rFonts w:hint="eastAsia"/>
        </w:rPr>
        <w:t>。最后一次支付时，监测成果需通过委托人委托的专家组评审</w:t>
      </w:r>
      <w:r>
        <w:t xml:space="preserve">。 </w:t>
      </w:r>
    </w:p>
    <w:p>
      <w:pPr>
        <w:autoSpaceDE/>
        <w:autoSpaceDN/>
        <w:adjustRightInd w:val="0"/>
        <w:snapToGrid w:val="0"/>
        <w:spacing w:line="360" w:lineRule="auto"/>
        <w:ind w:firstLine="330" w:firstLineChars="150"/>
        <w:jc w:val="both"/>
      </w:pPr>
      <w:r>
        <w:t xml:space="preserve">6.3 </w:t>
      </w:r>
      <w:r>
        <w:rPr>
          <w:rFonts w:hint="eastAsia"/>
        </w:rPr>
        <w:t>沉降观测</w:t>
      </w:r>
      <w:r>
        <w:t>所需的</w:t>
      </w:r>
      <w:r>
        <w:rPr>
          <w:rFonts w:hint="eastAsia"/>
        </w:rPr>
        <w:t>测管</w:t>
      </w:r>
      <w:r>
        <w:rPr>
          <w:rFonts w:hint="eastAsia"/>
          <w:lang w:val="en-US"/>
        </w:rPr>
        <w:t>制作、采购、</w:t>
      </w:r>
      <w:r>
        <w:t>埋设、</w:t>
      </w:r>
      <w:r>
        <w:rPr>
          <w:rFonts w:hint="eastAsia"/>
          <w:lang w:val="en-US"/>
        </w:rPr>
        <w:t>保护、</w:t>
      </w:r>
      <w:r>
        <w:t>观测及变刚度复合地基剖面沉降监测等费用，均包含在其综合单价中，不另行支付。</w:t>
      </w:r>
    </w:p>
    <w:p>
      <w:pPr>
        <w:autoSpaceDE/>
        <w:autoSpaceDN/>
        <w:adjustRightInd w:val="0"/>
        <w:snapToGrid w:val="0"/>
        <w:spacing w:line="360" w:lineRule="auto"/>
        <w:ind w:firstLine="330" w:firstLineChars="150"/>
        <w:jc w:val="both"/>
        <w:rPr>
          <w:b/>
          <w:bCs/>
        </w:rPr>
      </w:pPr>
      <w:r>
        <w:t xml:space="preserve">6.4 </w:t>
      </w:r>
      <w:r>
        <w:rPr>
          <w:b/>
          <w:bCs/>
        </w:rPr>
        <w:t>如委托人书面要求增加(减少)沉降观测工作量，监测服务单位不得拒绝</w:t>
      </w:r>
      <w:r>
        <w:rPr>
          <w:rFonts w:hint="eastAsia"/>
          <w:b/>
          <w:bCs/>
        </w:rPr>
        <w:t>，费用不予调整。</w:t>
      </w:r>
    </w:p>
    <w:p>
      <w:pPr>
        <w:autoSpaceDE/>
        <w:autoSpaceDN/>
        <w:adjustRightInd w:val="0"/>
        <w:snapToGrid w:val="0"/>
        <w:spacing w:line="360" w:lineRule="auto"/>
        <w:ind w:firstLine="330" w:firstLineChars="150"/>
        <w:jc w:val="both"/>
      </w:pPr>
      <w:r>
        <w:t>6.5 在合同执行期间，对于价格上涨、政策性调整等因素对项目成本造成的影响，委托人对合同价格不予调整。</w:t>
      </w:r>
    </w:p>
    <w:p>
      <w:pPr>
        <w:autoSpaceDE/>
        <w:autoSpaceDN/>
        <w:adjustRightInd w:val="0"/>
        <w:snapToGrid w:val="0"/>
        <w:spacing w:line="360" w:lineRule="auto"/>
        <w:ind w:firstLine="330" w:firstLineChars="150"/>
        <w:jc w:val="both"/>
      </w:pPr>
      <w:r>
        <w:t xml:space="preserve">6.6 服务期根据工程进度可能会有所调整，监测服务单位应无条件服从，不得因此提出费用索赔。 </w:t>
      </w:r>
    </w:p>
    <w:p>
      <w:pPr>
        <w:autoSpaceDE/>
        <w:autoSpaceDN/>
        <w:adjustRightInd w:val="0"/>
        <w:snapToGrid w:val="0"/>
        <w:spacing w:line="360" w:lineRule="auto"/>
        <w:ind w:firstLine="330" w:firstLineChars="150"/>
        <w:jc w:val="both"/>
      </w:pPr>
      <w:r>
        <w:t xml:space="preserve">7．其它 </w:t>
      </w:r>
    </w:p>
    <w:p>
      <w:pPr>
        <w:autoSpaceDE/>
        <w:autoSpaceDN/>
        <w:adjustRightInd w:val="0"/>
        <w:snapToGrid w:val="0"/>
        <w:spacing w:line="360" w:lineRule="auto"/>
        <w:ind w:firstLine="330" w:firstLineChars="150"/>
        <w:jc w:val="both"/>
      </w:pPr>
      <w:r>
        <w:t xml:space="preserve">7.1 合同双方的关系 合同双方互为权利和义务主体，双方应遵循平等互利、协商一致的原则履行本沉降观测合同。委 托人和监测服务单位均应按照沉降观测合同公正的行使权力和全面履行自己的职责。 </w:t>
      </w:r>
    </w:p>
    <w:p>
      <w:pPr>
        <w:autoSpaceDE/>
        <w:autoSpaceDN/>
        <w:adjustRightInd w:val="0"/>
        <w:snapToGrid w:val="0"/>
        <w:spacing w:line="360" w:lineRule="auto"/>
        <w:ind w:firstLine="330" w:firstLineChars="150"/>
        <w:jc w:val="both"/>
      </w:pPr>
      <w:r>
        <w:t>7.2 语言和法律 本沉降观测合同使用的语言或主导语言及合同所遵循的法律为中华人民共和国现行法律。</w:t>
      </w:r>
    </w:p>
    <w:p>
      <w:pPr>
        <w:autoSpaceDE/>
        <w:autoSpaceDN/>
        <w:adjustRightInd w:val="0"/>
        <w:snapToGrid w:val="0"/>
        <w:spacing w:line="360" w:lineRule="auto"/>
        <w:ind w:firstLine="330" w:firstLineChars="150"/>
        <w:jc w:val="both"/>
      </w:pPr>
      <w:r>
        <w:t xml:space="preserve">7.3 安全措施 </w:t>
      </w:r>
    </w:p>
    <w:p>
      <w:pPr>
        <w:autoSpaceDE/>
        <w:autoSpaceDN/>
        <w:adjustRightInd w:val="0"/>
        <w:snapToGrid w:val="0"/>
        <w:spacing w:line="360" w:lineRule="auto"/>
        <w:ind w:firstLine="330" w:firstLineChars="150"/>
        <w:jc w:val="both"/>
      </w:pPr>
      <w:r>
        <w:t xml:space="preserve">7.3.1、监测服务单位应严格遵守《中华人民共和国安全生产法》、《江苏省安全生产条例》等法律法 规的规定，建立健全的安全生产组织体系和责任体系，落实安全生产的保障措施，严格按照安全标准 沉降观测，采取必要的安全防护措施并对监测服务单位员进行安全生产教育和管理；健全组织制度，指 定主要领导负责安全工作，确保作业人员和车辆、设备的安全。监测服务单位在沉降观测过程中发生的 任何交通、生产事故造成财产损失或人员伤亡的，以及与其他第三方发生的任何纠纷或事故，委托人 概不承担任何责任和费用。 </w:t>
      </w:r>
    </w:p>
    <w:p>
      <w:pPr>
        <w:autoSpaceDE/>
        <w:autoSpaceDN/>
        <w:adjustRightInd w:val="0"/>
        <w:snapToGrid w:val="0"/>
        <w:spacing w:line="360" w:lineRule="auto"/>
        <w:ind w:firstLine="330" w:firstLineChars="150"/>
        <w:jc w:val="both"/>
      </w:pPr>
      <w:r>
        <w:t>7.3.2、针对本项目在沉降观测期间需保持过往</w:t>
      </w:r>
      <w:r>
        <w:rPr>
          <w:rFonts w:hint="eastAsia"/>
        </w:rPr>
        <w:t>船舶、车辆</w:t>
      </w:r>
      <w:r>
        <w:t>顺利通行，不能中断交通，监测服务单位应严格 遵守《中华人民共和国安全生产法》、《江苏省安全生产条例》的有关规定，服从公安、</w:t>
      </w:r>
      <w:r>
        <w:rPr>
          <w:rFonts w:hint="eastAsia"/>
        </w:rPr>
        <w:t>航政、路政</w:t>
      </w:r>
      <w:r>
        <w:t>部门的管理；遵守地方政府和有关部门对沉降观测场地交通等管理规定，否则将承担由此造成的有权部门的处 罚。监测服务单位上路作业应按规定办理相关手续，并服从公安、</w:t>
      </w:r>
      <w:r>
        <w:rPr>
          <w:rFonts w:hint="eastAsia"/>
        </w:rPr>
        <w:t>航政、</w:t>
      </w:r>
      <w:r>
        <w:t>路政部门的管理；作业人员须穿着统一的安全标志服在作业区内作业，严禁随意穿越车道；在作业封闭区内的车辆</w:t>
      </w:r>
      <w:r>
        <w:rPr>
          <w:rFonts w:hint="eastAsia"/>
        </w:rPr>
        <w:t>、船舶</w:t>
      </w:r>
      <w:r>
        <w:t xml:space="preserve">和设备应按要求设置安全标志，并开启黄色警示灯和双跳灯。监测服务单位应按照有关规定向路政、交警部门办理行政许可及 交纳相关费用。监测服务单位应杜绝因自身原因产生道路严重阻塞、中断等不良社会影响的现象发生，如发生上述情况，产生的一切责任（包括连带附带责任）均由监测服务单位承担。 </w:t>
      </w:r>
    </w:p>
    <w:p>
      <w:pPr>
        <w:autoSpaceDE/>
        <w:autoSpaceDN/>
        <w:adjustRightInd w:val="0"/>
        <w:snapToGrid w:val="0"/>
        <w:spacing w:line="360" w:lineRule="auto"/>
        <w:ind w:firstLine="330" w:firstLineChars="150"/>
        <w:jc w:val="both"/>
      </w:pPr>
      <w:r>
        <w:t xml:space="preserve">7.3.3、在现场工作时，监测服务单位应遵守政府有关部门、委托人及有关单位安全保卫制度，并对 其人员的安全负责，监测服务单位应对由于自己或其代理人的过错包括侵犯版权或发明权而给委托人或 任何第三方造成的损失负赔偿责任。在作业现场，监测服务单位应采取必要的安全措施，并应保障委托 人免于承担由此导致的一切诉讼、争执、索赔、罚款。 </w:t>
      </w:r>
    </w:p>
    <w:p>
      <w:pPr>
        <w:autoSpaceDE/>
        <w:autoSpaceDN/>
        <w:adjustRightInd w:val="0"/>
        <w:snapToGrid w:val="0"/>
        <w:spacing w:line="360" w:lineRule="auto"/>
        <w:ind w:firstLine="330" w:firstLineChars="150"/>
        <w:jc w:val="both"/>
      </w:pPr>
      <w:r>
        <w:t xml:space="preserve">7.3.4 监测服务单位应根据现场实际情况，针对水中作业、夜间、雨雾冰雪等特殊气候条件，制定完 善的安全保障措施，确保安全。如因上述情况，产生的一切责任（包括连带附带责任）均由沉降观测 人承担。 </w:t>
      </w:r>
    </w:p>
    <w:p>
      <w:pPr>
        <w:autoSpaceDE/>
        <w:autoSpaceDN/>
        <w:adjustRightInd w:val="0"/>
        <w:snapToGrid w:val="0"/>
        <w:spacing w:line="360" w:lineRule="auto"/>
        <w:ind w:firstLine="330" w:firstLineChars="150"/>
        <w:jc w:val="both"/>
      </w:pPr>
      <w:r>
        <w:t xml:space="preserve">7.4 利益矛盾 未经委托人书面同意，监测服务单位不得获取本沉降观测合同规定以外的与本项目有关的任何利益，不得参与与本沉降观测合同规定的委托人利益相冲突的任何活动。 </w:t>
      </w:r>
    </w:p>
    <w:p>
      <w:pPr>
        <w:autoSpaceDE/>
        <w:autoSpaceDN/>
        <w:adjustRightInd w:val="0"/>
        <w:snapToGrid w:val="0"/>
        <w:spacing w:line="360" w:lineRule="auto"/>
        <w:ind w:firstLine="330" w:firstLineChars="150"/>
        <w:jc w:val="both"/>
      </w:pPr>
      <w:r>
        <w:t xml:space="preserve">7.5 版权 </w:t>
      </w:r>
    </w:p>
    <w:p>
      <w:pPr>
        <w:autoSpaceDE/>
        <w:autoSpaceDN/>
        <w:adjustRightInd w:val="0"/>
        <w:snapToGrid w:val="0"/>
        <w:spacing w:line="360" w:lineRule="auto"/>
        <w:ind w:firstLine="330" w:firstLineChars="150"/>
        <w:jc w:val="both"/>
      </w:pPr>
      <w:r>
        <w:t xml:space="preserve">7.5.1 对监测服务单位拥有版权并已用于本沉降观测服务中的所有文件，委托人有权在本合同项目中 使用或复制。但未经监测服务单位的同意，委托人不得将上述文件直接或间接用于其它项目、工程或服 务之中。 </w:t>
      </w:r>
    </w:p>
    <w:p>
      <w:pPr>
        <w:autoSpaceDE/>
        <w:autoSpaceDN/>
        <w:adjustRightInd w:val="0"/>
        <w:snapToGrid w:val="0"/>
        <w:spacing w:line="360" w:lineRule="auto"/>
        <w:ind w:firstLine="330" w:firstLineChars="150"/>
        <w:jc w:val="both"/>
      </w:pPr>
      <w:r>
        <w:t>7.5.2 委托人就本项目沉降观测而向监测服务单位提供的成果为委托人所拥有。监测服务单位因受委托 人委托进行的本项目沉降观测而产生的成果均为双方共同享有，其中任何一方向第三方转让时须经另 一方同意，但若委托人因推行本项目的需要向第三方透露沉降观测成果，则无须经过监测服务单位的同意。</w:t>
      </w:r>
    </w:p>
    <w:p>
      <w:pPr>
        <w:autoSpaceDE/>
        <w:autoSpaceDN/>
        <w:adjustRightInd w:val="0"/>
        <w:snapToGrid w:val="0"/>
        <w:spacing w:line="360" w:lineRule="auto"/>
        <w:ind w:firstLine="330" w:firstLineChars="150"/>
        <w:jc w:val="both"/>
      </w:pPr>
      <w:r>
        <w:t xml:space="preserve"> 7.6 通知本沉降观测合同涉及的通知均为书面形式，在送达协议书中注明的地址并由收受方签收后生效。 无论发送方采用何种方式递送通知，收受方都应用书面回执确认。 </w:t>
      </w:r>
    </w:p>
    <w:p>
      <w:pPr>
        <w:autoSpaceDE/>
        <w:autoSpaceDN/>
        <w:adjustRightInd w:val="0"/>
        <w:snapToGrid w:val="0"/>
        <w:spacing w:line="360" w:lineRule="auto"/>
        <w:ind w:firstLine="330" w:firstLineChars="150"/>
        <w:jc w:val="both"/>
      </w:pPr>
      <w:r>
        <w:t xml:space="preserve">7.7 不可抗力 </w:t>
      </w:r>
    </w:p>
    <w:p>
      <w:pPr>
        <w:autoSpaceDE/>
        <w:autoSpaceDN/>
        <w:adjustRightInd w:val="0"/>
        <w:snapToGrid w:val="0"/>
        <w:spacing w:line="360" w:lineRule="auto"/>
        <w:ind w:firstLine="330" w:firstLineChars="150"/>
        <w:jc w:val="both"/>
      </w:pPr>
      <w:r>
        <w:t xml:space="preserve">7.7.1、除非合同另有约定，不可抗力系指委托人和监测服务单位都不可预见、不可避免、不能克服 的超出认识控制和防范能力的事件。这类事件使合同一方的履约已变得不可能。不可抗力可以包括(但 不限于)下列情况： </w:t>
      </w:r>
    </w:p>
    <w:p>
      <w:pPr>
        <w:autoSpaceDE/>
        <w:autoSpaceDN/>
        <w:adjustRightInd w:val="0"/>
        <w:snapToGrid w:val="0"/>
        <w:spacing w:line="360" w:lineRule="auto"/>
        <w:ind w:firstLine="330" w:firstLineChars="150"/>
        <w:jc w:val="both"/>
      </w:pPr>
      <w:r>
        <w:t>(1)战争、敌对行动(不论宣战与否)、入侵、外敌行动；</w:t>
      </w:r>
    </w:p>
    <w:p>
      <w:pPr>
        <w:autoSpaceDE/>
        <w:autoSpaceDN/>
        <w:adjustRightInd w:val="0"/>
        <w:snapToGrid w:val="0"/>
        <w:spacing w:line="360" w:lineRule="auto"/>
        <w:ind w:firstLine="330" w:firstLineChars="150"/>
        <w:jc w:val="both"/>
      </w:pPr>
      <w:r>
        <w:t xml:space="preserve">(2)叛乱、革命、暴动或军事政变或篡夺政权，或内战； </w:t>
      </w:r>
    </w:p>
    <w:p>
      <w:pPr>
        <w:autoSpaceDE/>
        <w:autoSpaceDN/>
        <w:adjustRightInd w:val="0"/>
        <w:snapToGrid w:val="0"/>
        <w:spacing w:line="360" w:lineRule="auto"/>
        <w:ind w:firstLine="330" w:firstLineChars="150"/>
        <w:jc w:val="both"/>
      </w:pPr>
      <w:r>
        <w:t xml:space="preserve">(3)暴乱、骚乱或混乱，但对于完全局限在监测服务单位雇用人员内部并且是由于从事本工程而发生 的事件除外； </w:t>
      </w:r>
    </w:p>
    <w:p>
      <w:pPr>
        <w:autoSpaceDE/>
        <w:autoSpaceDN/>
        <w:adjustRightInd w:val="0"/>
        <w:snapToGrid w:val="0"/>
        <w:spacing w:line="360" w:lineRule="auto"/>
        <w:ind w:firstLine="330" w:firstLineChars="150"/>
        <w:jc w:val="both"/>
      </w:pPr>
      <w:r>
        <w:t xml:space="preserve">(4)离子辐射或放射性污染； </w:t>
      </w:r>
    </w:p>
    <w:p>
      <w:pPr>
        <w:autoSpaceDE/>
        <w:autoSpaceDN/>
        <w:adjustRightInd w:val="0"/>
        <w:snapToGrid w:val="0"/>
        <w:spacing w:line="360" w:lineRule="auto"/>
        <w:ind w:firstLine="330" w:firstLineChars="150"/>
        <w:jc w:val="both"/>
      </w:pPr>
      <w:r>
        <w:t xml:space="preserve">(5)以音速或超音速飞行的飞机或其他飞行装置产生的压力波，飞行器坠落； </w:t>
      </w:r>
    </w:p>
    <w:p>
      <w:pPr>
        <w:autoSpaceDE/>
        <w:autoSpaceDN/>
        <w:adjustRightInd w:val="0"/>
        <w:snapToGrid w:val="0"/>
        <w:spacing w:line="360" w:lineRule="auto"/>
        <w:ind w:firstLine="330" w:firstLineChars="150"/>
        <w:jc w:val="both"/>
      </w:pPr>
      <w:r>
        <w:t xml:space="preserve">(6)自然灾害(地震、洪水、海啸、飓风、超强台风、雷击)。 </w:t>
      </w:r>
    </w:p>
    <w:p>
      <w:pPr>
        <w:autoSpaceDE/>
        <w:autoSpaceDN/>
        <w:adjustRightInd w:val="0"/>
        <w:snapToGrid w:val="0"/>
        <w:spacing w:line="360" w:lineRule="auto"/>
        <w:ind w:firstLine="330" w:firstLineChars="150"/>
        <w:jc w:val="both"/>
      </w:pPr>
      <w:r>
        <w:t xml:space="preserve">7.7.2、遇有不可抗力事件的一方因此影响合同执行时，应在不可抗力事件发生后立即以书面形式 通知对方，并应在不可抗力事情发生后 15 天内，提供事件详细及合同不能履行、或者部分不能履行、 或者需要延期履行的理由的有效证明文件。按照事件对履行合同的影响程度，由双方协商解决是否解 除合同，或者部分免除履行合同的责任，或者延期履行合同。 </w:t>
      </w:r>
    </w:p>
    <w:p>
      <w:pPr>
        <w:autoSpaceDE/>
        <w:autoSpaceDN/>
        <w:adjustRightInd w:val="0"/>
        <w:snapToGrid w:val="0"/>
        <w:spacing w:line="360" w:lineRule="auto"/>
        <w:ind w:firstLine="330" w:firstLineChars="150"/>
        <w:jc w:val="both"/>
      </w:pPr>
      <w:r>
        <w:t xml:space="preserve">7.7.3、因合同一方拖延履行合同后发生不可抗力的，不能免除拖延履行方的相应责任。 </w:t>
      </w:r>
    </w:p>
    <w:p>
      <w:pPr>
        <w:autoSpaceDE/>
        <w:autoSpaceDN/>
        <w:adjustRightInd w:val="0"/>
        <w:snapToGrid w:val="0"/>
        <w:spacing w:line="360" w:lineRule="auto"/>
        <w:ind w:firstLine="330" w:firstLineChars="150"/>
        <w:jc w:val="both"/>
        <w:rPr>
          <w:rFonts w:cs="Times New Roman"/>
          <w:kern w:val="2"/>
          <w:sz w:val="21"/>
          <w:szCs w:val="21"/>
          <w:lang w:val="en-US" w:bidi="ar-SA"/>
        </w:rPr>
      </w:pPr>
      <w:r>
        <w:t>8．争端的解决 双方在履行本沉降观测合同过程中发生争端时，应本着友好协商的原则解决问题，或通过上级主管部门进行调解。若经过协商或调解仍不能达成一致时，</w:t>
      </w:r>
      <w:r>
        <w:rPr>
          <w:rFonts w:hint="eastAsia"/>
        </w:rPr>
        <w:t>双方均有权向委托人所在地人民法院提起诉讼。</w:t>
      </w:r>
    </w:p>
    <w:p>
      <w:pPr>
        <w:autoSpaceDE/>
        <w:autoSpaceDN/>
        <w:adjustRightInd w:val="0"/>
        <w:snapToGrid w:val="0"/>
        <w:spacing w:line="300" w:lineRule="auto"/>
        <w:jc w:val="both"/>
        <w:rPr>
          <w:rFonts w:ascii="Times New Roman" w:hAnsi="Times New Roman" w:cs="Times New Roman"/>
          <w:kern w:val="2"/>
          <w:sz w:val="21"/>
          <w:szCs w:val="21"/>
          <w:lang w:val="en-US" w:bidi="ar-SA"/>
        </w:rPr>
      </w:pPr>
    </w:p>
    <w:p>
      <w:pPr>
        <w:autoSpaceDE/>
        <w:autoSpaceDN/>
        <w:adjustRightInd w:val="0"/>
        <w:snapToGrid w:val="0"/>
        <w:spacing w:line="300" w:lineRule="auto"/>
        <w:jc w:val="both"/>
        <w:rPr>
          <w:rFonts w:ascii="Times New Roman" w:hAnsi="Times New Roman" w:cs="Times New Roman"/>
          <w:kern w:val="2"/>
          <w:sz w:val="21"/>
          <w:szCs w:val="21"/>
          <w:lang w:bidi="ar-SA"/>
        </w:rPr>
        <w:sectPr>
          <w:headerReference r:id="rId3" w:type="first"/>
          <w:pgSz w:w="11906" w:h="16838"/>
          <w:pgMar w:top="1418" w:right="1361" w:bottom="851" w:left="1588" w:header="851" w:footer="821" w:gutter="0"/>
          <w:cols w:space="425" w:num="1"/>
          <w:docGrid w:linePitch="312" w:charSpace="0"/>
        </w:sectPr>
      </w:pPr>
    </w:p>
    <w:p>
      <w:pPr>
        <w:keepNext/>
        <w:keepLines/>
        <w:autoSpaceDE/>
        <w:autoSpaceDN/>
        <w:adjustRightInd w:val="0"/>
        <w:snapToGrid w:val="0"/>
        <w:spacing w:before="120" w:line="360" w:lineRule="auto"/>
        <w:jc w:val="center"/>
        <w:outlineLvl w:val="1"/>
        <w:rPr>
          <w:rFonts w:ascii="Times New Roman" w:hAnsi="Times New Roman" w:eastAsia="黑体" w:cs="Times New Roman"/>
          <w:b/>
          <w:bCs/>
          <w:kern w:val="2"/>
          <w:sz w:val="32"/>
          <w:szCs w:val="32"/>
          <w:lang w:val="en-US" w:bidi="ar-SA"/>
        </w:rPr>
      </w:pPr>
      <w:bookmarkStart w:id="20" w:name="_Toc216001615"/>
      <w:r>
        <w:rPr>
          <w:rFonts w:ascii="Times New Roman" w:hAnsi="Times New Roman" w:eastAsia="黑体" w:cs="Times New Roman"/>
          <w:b/>
          <w:bCs/>
          <w:kern w:val="2"/>
          <w:sz w:val="32"/>
          <w:szCs w:val="32"/>
          <w:lang w:val="en-US" w:bidi="ar-SA"/>
        </w:rPr>
        <w:t>第</w:t>
      </w:r>
      <w:r>
        <w:rPr>
          <w:rFonts w:hint="eastAsia" w:ascii="Times New Roman" w:hAnsi="Times New Roman" w:eastAsia="黑体" w:cs="Times New Roman"/>
          <w:b/>
          <w:bCs/>
          <w:kern w:val="2"/>
          <w:sz w:val="32"/>
          <w:szCs w:val="32"/>
          <w:lang w:val="en-US" w:bidi="ar-SA"/>
        </w:rPr>
        <w:t>三</w:t>
      </w:r>
      <w:r>
        <w:rPr>
          <w:rFonts w:ascii="Times New Roman" w:hAnsi="Times New Roman" w:eastAsia="黑体" w:cs="Times New Roman"/>
          <w:b/>
          <w:bCs/>
          <w:kern w:val="2"/>
          <w:sz w:val="32"/>
          <w:szCs w:val="32"/>
          <w:lang w:val="en-US" w:bidi="ar-SA"/>
        </w:rPr>
        <w:t>部分廉洁合同</w:t>
      </w:r>
      <w:bookmarkEnd w:id="20"/>
    </w:p>
    <w:bookmarkEnd w:id="11"/>
    <w:bookmarkEnd w:id="12"/>
    <w:bookmarkEnd w:id="13"/>
    <w:bookmarkEnd w:id="14"/>
    <w:bookmarkEnd w:id="15"/>
    <w:bookmarkEnd w:id="16"/>
    <w:p>
      <w:pPr>
        <w:autoSpaceDE/>
        <w:autoSpaceDN/>
        <w:jc w:val="center"/>
        <w:rPr>
          <w:rFonts w:ascii="Times New Roman" w:hAnsi="Times New Roman" w:cs="Times New Roman"/>
          <w:kern w:val="2"/>
          <w:sz w:val="44"/>
          <w:szCs w:val="44"/>
          <w:lang w:val="en-US" w:bidi="ar-SA"/>
        </w:rPr>
      </w:pPr>
      <w:r>
        <w:rPr>
          <w:rFonts w:ascii="Times New Roman" w:hAnsi="Times New Roman" w:cs="Times New Roman"/>
          <w:kern w:val="2"/>
          <w:sz w:val="44"/>
          <w:szCs w:val="44"/>
          <w:lang w:val="en-US" w:bidi="ar-SA"/>
        </w:rPr>
        <w:t>廉洁合同</w:t>
      </w:r>
    </w:p>
    <w:p>
      <w:pPr>
        <w:autoSpaceDE/>
        <w:autoSpaceDN/>
        <w:ind w:firstLine="600" w:firstLineChars="200"/>
        <w:jc w:val="both"/>
        <w:rPr>
          <w:rFonts w:ascii="Times New Roman" w:hAnsi="Times New Roman" w:cs="Times New Roman"/>
          <w:kern w:val="2"/>
          <w:sz w:val="30"/>
          <w:szCs w:val="20"/>
          <w:lang w:val="en-US" w:bidi="ar-SA"/>
        </w:rPr>
      </w:pPr>
    </w:p>
    <w:p>
      <w:pPr>
        <w:autoSpaceDE/>
        <w:autoSpaceDN/>
        <w:spacing w:line="400" w:lineRule="exact"/>
        <w:ind w:firstLine="420" w:firstLineChars="200"/>
        <w:jc w:val="both"/>
        <w:rPr>
          <w:rFonts w:ascii="Times New Roman" w:hAnsi="Times New Roman" w:cs="Times New Roman"/>
          <w:kern w:val="2"/>
          <w:sz w:val="21"/>
          <w:szCs w:val="21"/>
          <w:lang w:val="en-US" w:bidi="ar-SA"/>
        </w:rPr>
      </w:pPr>
      <w:r>
        <w:rPr>
          <w:rFonts w:ascii="Times New Roman" w:hAnsi="Times New Roman" w:cs="Times New Roman"/>
          <w:kern w:val="2"/>
          <w:sz w:val="21"/>
          <w:szCs w:val="21"/>
          <w:lang w:val="en-US" w:bidi="ar-SA"/>
        </w:rPr>
        <w:t>根据交通运输部《关于在交通基础设施建设中推行廉政合同的通知》等文件要求以及有关工程建设、廉洁管理的相关规定，为加强工程建设的党风廉政建设，保证工程建设优质高效，保证工程建设者廉洁从业，保证建设资金安全以及投资效益，项目法人（以下简称“委托人”）</w:t>
      </w:r>
      <w:r>
        <w:rPr>
          <w:rFonts w:hint="eastAsia" w:ascii="Times New Roman" w:hAnsi="Times New Roman" w:cs="Times New Roman"/>
          <w:kern w:val="2"/>
          <w:sz w:val="21"/>
          <w:szCs w:val="21"/>
          <w:lang w:val="en-US" w:bidi="ar-SA"/>
        </w:rPr>
        <w:t>、</w:t>
      </w:r>
      <w:r>
        <w:rPr>
          <w:rFonts w:ascii="Times New Roman" w:hAnsi="Times New Roman" w:cs="Times New Roman"/>
          <w:kern w:val="2"/>
          <w:sz w:val="21"/>
          <w:szCs w:val="21"/>
          <w:lang w:val="en-US" w:bidi="ar-SA"/>
        </w:rPr>
        <w:t>与项目</w:t>
      </w:r>
      <w:r>
        <w:rPr>
          <w:rFonts w:ascii="Times New Roman" w:hAnsi="Times New Roman" w:cs="Times New Roman"/>
          <w:bCs/>
          <w:kern w:val="2"/>
          <w:sz w:val="21"/>
          <w:szCs w:val="21"/>
          <w:lang w:val="en-US" w:bidi="ar-SA"/>
        </w:rPr>
        <w:t>标段</w:t>
      </w:r>
      <w:r>
        <w:rPr>
          <w:rFonts w:ascii="Times New Roman" w:hAnsi="Times New Roman" w:cs="Times New Roman"/>
          <w:kern w:val="2"/>
          <w:sz w:val="21"/>
          <w:szCs w:val="21"/>
          <w:lang w:val="en-US" w:bidi="ar-SA"/>
        </w:rPr>
        <w:t>的中标单位（以下简称“监测服务单位”），特订立如下合同。</w:t>
      </w:r>
    </w:p>
    <w:p>
      <w:pPr>
        <w:autoSpaceDE/>
        <w:autoSpaceDN/>
        <w:spacing w:line="400" w:lineRule="exact"/>
        <w:ind w:firstLine="420" w:firstLineChars="200"/>
        <w:jc w:val="both"/>
        <w:rPr>
          <w:rFonts w:ascii="Times New Roman" w:hAnsi="Times New Roman" w:cs="Times New Roman"/>
          <w:kern w:val="2"/>
          <w:sz w:val="21"/>
          <w:szCs w:val="21"/>
          <w:lang w:val="en-US" w:bidi="ar-SA"/>
        </w:rPr>
      </w:pPr>
      <w:r>
        <w:rPr>
          <w:rFonts w:ascii="Times New Roman" w:hAnsi="Times New Roman" w:cs="Times New Roman"/>
          <w:kern w:val="2"/>
          <w:sz w:val="21"/>
          <w:szCs w:val="21"/>
          <w:lang w:val="en-US" w:bidi="ar-SA"/>
        </w:rPr>
        <w:t>1、委托人和监测服务单位双方的权利和义务</w:t>
      </w:r>
    </w:p>
    <w:p>
      <w:pPr>
        <w:autoSpaceDE/>
        <w:autoSpaceDN/>
        <w:spacing w:line="400" w:lineRule="exact"/>
        <w:ind w:firstLine="420" w:firstLineChars="200"/>
        <w:jc w:val="both"/>
        <w:rPr>
          <w:rFonts w:ascii="Times New Roman" w:hAnsi="Times New Roman" w:cs="Times New Roman"/>
          <w:kern w:val="2"/>
          <w:sz w:val="21"/>
          <w:szCs w:val="21"/>
          <w:lang w:val="en-US" w:bidi="ar-SA"/>
        </w:rPr>
      </w:pPr>
      <w:r>
        <w:rPr>
          <w:rFonts w:ascii="Times New Roman" w:hAnsi="Times New Roman" w:cs="Times New Roman"/>
          <w:kern w:val="2"/>
          <w:sz w:val="21"/>
          <w:szCs w:val="21"/>
          <w:lang w:val="en-US" w:bidi="ar-SA"/>
        </w:rPr>
        <w:t>（1）严格遵守国家有关法律、法规及交通运输部、省交通运输厅的有关规定。</w:t>
      </w:r>
    </w:p>
    <w:p>
      <w:pPr>
        <w:autoSpaceDE/>
        <w:autoSpaceDN/>
        <w:spacing w:line="400" w:lineRule="exact"/>
        <w:ind w:firstLine="420" w:firstLineChars="200"/>
        <w:jc w:val="both"/>
        <w:rPr>
          <w:rFonts w:ascii="Times New Roman" w:hAnsi="Times New Roman" w:cs="Times New Roman"/>
          <w:kern w:val="2"/>
          <w:sz w:val="21"/>
          <w:szCs w:val="21"/>
          <w:lang w:val="en-US" w:bidi="ar-SA"/>
        </w:rPr>
      </w:pPr>
      <w:r>
        <w:rPr>
          <w:rFonts w:ascii="Times New Roman" w:hAnsi="Times New Roman" w:cs="Times New Roman"/>
          <w:kern w:val="2"/>
          <w:sz w:val="21"/>
          <w:szCs w:val="21"/>
          <w:lang w:val="en-US" w:bidi="ar-SA"/>
        </w:rPr>
        <w:t>（2）严格执行合同文件，严格履行合同。</w:t>
      </w:r>
    </w:p>
    <w:p>
      <w:pPr>
        <w:autoSpaceDE/>
        <w:autoSpaceDN/>
        <w:spacing w:line="400" w:lineRule="exact"/>
        <w:ind w:firstLine="420" w:firstLineChars="200"/>
        <w:jc w:val="both"/>
        <w:rPr>
          <w:rFonts w:ascii="Times New Roman" w:hAnsi="Times New Roman" w:cs="Times New Roman"/>
          <w:kern w:val="2"/>
          <w:sz w:val="21"/>
          <w:szCs w:val="21"/>
          <w:lang w:val="en-US" w:bidi="ar-SA"/>
        </w:rPr>
      </w:pPr>
      <w:r>
        <w:rPr>
          <w:rFonts w:ascii="Times New Roman" w:hAnsi="Times New Roman" w:cs="Times New Roman"/>
          <w:kern w:val="2"/>
          <w:sz w:val="21"/>
          <w:szCs w:val="21"/>
          <w:lang w:val="en-US" w:bidi="ar-SA"/>
        </w:rPr>
        <w:t>（3）双方的业务活动坚持公开、公正、诚信、透明的原则（法律认定的商业秘密和合同文件另有规定除外），不得损害国家和集体利益，不得违反工程建设管理规章制度。</w:t>
      </w:r>
    </w:p>
    <w:p>
      <w:pPr>
        <w:autoSpaceDE/>
        <w:autoSpaceDN/>
        <w:spacing w:line="400" w:lineRule="exact"/>
        <w:ind w:firstLine="420" w:firstLineChars="200"/>
        <w:jc w:val="both"/>
        <w:rPr>
          <w:rFonts w:ascii="Times New Roman" w:hAnsi="Times New Roman" w:cs="Times New Roman"/>
          <w:kern w:val="2"/>
          <w:sz w:val="21"/>
          <w:szCs w:val="21"/>
          <w:lang w:val="en-US" w:bidi="ar-SA"/>
        </w:rPr>
      </w:pPr>
      <w:r>
        <w:rPr>
          <w:rFonts w:ascii="Times New Roman" w:hAnsi="Times New Roman" w:cs="Times New Roman"/>
          <w:kern w:val="2"/>
          <w:sz w:val="21"/>
          <w:szCs w:val="21"/>
          <w:lang w:val="en-US" w:bidi="ar-SA"/>
        </w:rPr>
        <w:t>（4）推行廉洁管理标准化，建立廉洁管理责任体系，制定廉洁管理制度，实行建设信息公开，开展廉洁教育和廉洁文化建设，监督并认真查处违法违纪行为。</w:t>
      </w:r>
    </w:p>
    <w:p>
      <w:pPr>
        <w:autoSpaceDE/>
        <w:autoSpaceDN/>
        <w:spacing w:line="400" w:lineRule="exact"/>
        <w:ind w:firstLine="420" w:firstLineChars="200"/>
        <w:jc w:val="both"/>
        <w:rPr>
          <w:rFonts w:ascii="Times New Roman" w:hAnsi="Times New Roman" w:cs="Times New Roman"/>
          <w:kern w:val="2"/>
          <w:sz w:val="21"/>
          <w:szCs w:val="21"/>
          <w:lang w:val="en-US" w:bidi="ar-SA"/>
        </w:rPr>
      </w:pPr>
      <w:r>
        <w:rPr>
          <w:rFonts w:ascii="Times New Roman" w:hAnsi="Times New Roman" w:cs="Times New Roman"/>
          <w:kern w:val="2"/>
          <w:sz w:val="21"/>
          <w:szCs w:val="21"/>
          <w:lang w:val="en-US" w:bidi="ar-SA"/>
        </w:rPr>
        <w:t>（5）发现对方在业务活动中有违反廉洁规定的行为，有及时提醒对方纠正的权利和义务。</w:t>
      </w:r>
    </w:p>
    <w:p>
      <w:pPr>
        <w:autoSpaceDE/>
        <w:autoSpaceDN/>
        <w:spacing w:line="400" w:lineRule="exact"/>
        <w:ind w:firstLine="420" w:firstLineChars="200"/>
        <w:jc w:val="both"/>
        <w:rPr>
          <w:rFonts w:ascii="Times New Roman" w:hAnsi="Times New Roman" w:cs="Times New Roman"/>
          <w:kern w:val="2"/>
          <w:sz w:val="21"/>
          <w:szCs w:val="21"/>
          <w:lang w:val="en-US" w:bidi="ar-SA"/>
        </w:rPr>
      </w:pPr>
      <w:r>
        <w:rPr>
          <w:rFonts w:ascii="Times New Roman" w:hAnsi="Times New Roman" w:cs="Times New Roman"/>
          <w:kern w:val="2"/>
          <w:sz w:val="21"/>
          <w:szCs w:val="21"/>
          <w:lang w:val="en-US" w:bidi="ar-SA"/>
        </w:rPr>
        <w:t>（6）发现对方严重违反本合同义务条款的行为，有向其上级有关部门举报、建议给予处理并要求告知处理结果的权利。</w:t>
      </w:r>
    </w:p>
    <w:p>
      <w:pPr>
        <w:autoSpaceDE/>
        <w:autoSpaceDN/>
        <w:spacing w:line="400" w:lineRule="exact"/>
        <w:ind w:firstLine="420" w:firstLineChars="200"/>
        <w:jc w:val="both"/>
        <w:rPr>
          <w:rFonts w:ascii="Times New Roman" w:hAnsi="Times New Roman" w:cs="Times New Roman"/>
          <w:kern w:val="2"/>
          <w:sz w:val="21"/>
          <w:szCs w:val="21"/>
          <w:lang w:val="en-US" w:bidi="ar-SA"/>
        </w:rPr>
      </w:pPr>
      <w:r>
        <w:rPr>
          <w:rFonts w:ascii="Times New Roman" w:hAnsi="Times New Roman" w:cs="Times New Roman"/>
          <w:kern w:val="2"/>
          <w:sz w:val="21"/>
          <w:szCs w:val="21"/>
          <w:lang w:val="en-US" w:bidi="ar-SA"/>
        </w:rPr>
        <w:t>2、委托人的义务</w:t>
      </w:r>
    </w:p>
    <w:p>
      <w:pPr>
        <w:autoSpaceDE/>
        <w:autoSpaceDN/>
        <w:spacing w:line="400" w:lineRule="exact"/>
        <w:ind w:firstLine="420" w:firstLineChars="200"/>
        <w:jc w:val="both"/>
        <w:rPr>
          <w:rFonts w:ascii="Times New Roman" w:hAnsi="Times New Roman" w:cs="Times New Roman"/>
          <w:kern w:val="2"/>
          <w:sz w:val="21"/>
          <w:szCs w:val="21"/>
          <w:lang w:val="en-US" w:bidi="ar-SA"/>
        </w:rPr>
      </w:pPr>
      <w:r>
        <w:rPr>
          <w:rFonts w:ascii="Times New Roman" w:hAnsi="Times New Roman" w:cs="Times New Roman"/>
          <w:kern w:val="2"/>
          <w:sz w:val="21"/>
          <w:szCs w:val="21"/>
          <w:lang w:val="en-US" w:bidi="ar-SA"/>
        </w:rPr>
        <w:t>（1）委托人应认真履行廉洁从政各项要求，组织实施廉洁管理标准化工作。</w:t>
      </w:r>
    </w:p>
    <w:p>
      <w:pPr>
        <w:autoSpaceDE/>
        <w:autoSpaceDN/>
        <w:spacing w:line="400" w:lineRule="exact"/>
        <w:ind w:firstLine="420" w:firstLineChars="200"/>
        <w:jc w:val="both"/>
        <w:rPr>
          <w:rFonts w:ascii="Times New Roman" w:hAnsi="Times New Roman" w:cs="Times New Roman"/>
          <w:kern w:val="2"/>
          <w:sz w:val="21"/>
          <w:szCs w:val="21"/>
          <w:lang w:val="en-US" w:bidi="ar-SA"/>
        </w:rPr>
      </w:pPr>
      <w:r>
        <w:rPr>
          <w:rFonts w:ascii="Times New Roman" w:hAnsi="Times New Roman" w:cs="Times New Roman"/>
          <w:kern w:val="2"/>
          <w:sz w:val="21"/>
          <w:szCs w:val="21"/>
          <w:lang w:val="en-US" w:bidi="ar-SA"/>
        </w:rPr>
        <w:t>（2）委托人应按照资金使用规定，保证建设资金的管理、使用符合相关规定。</w:t>
      </w:r>
    </w:p>
    <w:p>
      <w:pPr>
        <w:autoSpaceDE/>
        <w:autoSpaceDN/>
        <w:spacing w:line="400" w:lineRule="exact"/>
        <w:ind w:firstLine="420" w:firstLineChars="200"/>
        <w:jc w:val="both"/>
        <w:rPr>
          <w:rFonts w:ascii="Times New Roman" w:hAnsi="Times New Roman" w:cs="Times New Roman"/>
          <w:kern w:val="2"/>
          <w:sz w:val="21"/>
          <w:szCs w:val="21"/>
          <w:lang w:val="en-US" w:bidi="ar-SA"/>
        </w:rPr>
      </w:pPr>
      <w:r>
        <w:rPr>
          <w:rFonts w:ascii="Times New Roman" w:hAnsi="Times New Roman" w:cs="Times New Roman"/>
          <w:kern w:val="2"/>
          <w:sz w:val="21"/>
          <w:szCs w:val="21"/>
          <w:lang w:val="en-US" w:bidi="ar-SA"/>
        </w:rPr>
        <w:t>（3）委托人及其工作人员不得索要或接受监测服务单位的礼金、有价证券和贵重物品，不得让监测服务单位报销任何应由委托人或委托人工作人员个人支付的费用等。</w:t>
      </w:r>
    </w:p>
    <w:p>
      <w:pPr>
        <w:autoSpaceDE/>
        <w:autoSpaceDN/>
        <w:spacing w:line="400" w:lineRule="exact"/>
        <w:ind w:firstLine="420" w:firstLineChars="200"/>
        <w:jc w:val="both"/>
        <w:rPr>
          <w:rFonts w:ascii="Times New Roman" w:hAnsi="Times New Roman" w:cs="Times New Roman"/>
          <w:kern w:val="2"/>
          <w:sz w:val="21"/>
          <w:szCs w:val="21"/>
          <w:lang w:val="en-US" w:bidi="ar-SA"/>
        </w:rPr>
      </w:pPr>
      <w:r>
        <w:rPr>
          <w:rFonts w:ascii="Times New Roman" w:hAnsi="Times New Roman" w:cs="Times New Roman"/>
          <w:kern w:val="2"/>
          <w:sz w:val="21"/>
          <w:szCs w:val="21"/>
          <w:lang w:val="en-US" w:bidi="ar-SA"/>
        </w:rPr>
        <w:t>（4）委托人工作人员不得参加监测服务单位安排的超标准宴请和娱乐活动；不得接受监测服务单位提供的通讯工具、交通工具和高档办公用品等。</w:t>
      </w:r>
    </w:p>
    <w:p>
      <w:pPr>
        <w:autoSpaceDE/>
        <w:autoSpaceDN/>
        <w:spacing w:line="400" w:lineRule="exact"/>
        <w:ind w:firstLine="420" w:firstLineChars="200"/>
        <w:jc w:val="both"/>
        <w:rPr>
          <w:rFonts w:ascii="Times New Roman" w:hAnsi="Times New Roman" w:cs="Times New Roman"/>
          <w:kern w:val="2"/>
          <w:sz w:val="21"/>
          <w:szCs w:val="21"/>
          <w:lang w:val="en-US" w:bidi="ar-SA"/>
        </w:rPr>
      </w:pPr>
      <w:r>
        <w:rPr>
          <w:rFonts w:ascii="Times New Roman" w:hAnsi="Times New Roman" w:cs="Times New Roman"/>
          <w:kern w:val="2"/>
          <w:sz w:val="21"/>
          <w:szCs w:val="21"/>
          <w:lang w:val="en-US" w:bidi="ar-SA"/>
        </w:rPr>
        <w:t>（5）委托人及其工作人员不得要求或者接受监测服务单位为其住房装修、婚丧嫁娶活动、配偶子女的工作安排以及出国出境、旅游等提供方便等。</w:t>
      </w:r>
    </w:p>
    <w:p>
      <w:pPr>
        <w:autoSpaceDE/>
        <w:autoSpaceDN/>
        <w:spacing w:line="400" w:lineRule="exact"/>
        <w:ind w:firstLine="420" w:firstLineChars="200"/>
        <w:jc w:val="both"/>
        <w:rPr>
          <w:rFonts w:ascii="Times New Roman" w:hAnsi="Times New Roman" w:cs="Times New Roman"/>
          <w:kern w:val="2"/>
          <w:sz w:val="21"/>
          <w:szCs w:val="21"/>
          <w:lang w:val="en-US" w:bidi="ar-SA"/>
        </w:rPr>
      </w:pPr>
      <w:r>
        <w:rPr>
          <w:rFonts w:ascii="Times New Roman" w:hAnsi="Times New Roman" w:cs="Times New Roman"/>
          <w:kern w:val="2"/>
          <w:sz w:val="21"/>
          <w:szCs w:val="21"/>
          <w:lang w:val="en-US" w:bidi="ar-SA"/>
        </w:rPr>
        <w:t>（6）委托人工作人员及其配偶、子女不得从事与委托人工作有关的材料设备供应、工程分包、劳务等经济活动等，不得安排个人施工队伍。</w:t>
      </w:r>
    </w:p>
    <w:p>
      <w:pPr>
        <w:autoSpaceDE/>
        <w:autoSpaceDN/>
        <w:spacing w:line="400" w:lineRule="exact"/>
        <w:ind w:firstLine="420" w:firstLineChars="200"/>
        <w:jc w:val="both"/>
        <w:rPr>
          <w:rFonts w:ascii="Times New Roman" w:hAnsi="Times New Roman" w:cs="Times New Roman"/>
          <w:kern w:val="2"/>
          <w:sz w:val="21"/>
          <w:szCs w:val="21"/>
          <w:lang w:val="en-US" w:bidi="ar-SA"/>
        </w:rPr>
      </w:pPr>
      <w:r>
        <w:rPr>
          <w:rFonts w:ascii="Times New Roman" w:hAnsi="Times New Roman" w:cs="Times New Roman"/>
          <w:kern w:val="2"/>
          <w:sz w:val="21"/>
          <w:szCs w:val="21"/>
          <w:lang w:val="en-US" w:bidi="ar-SA"/>
        </w:rPr>
        <w:t>（7）委托人及其工作人员不得以任何理由向监测服务单位推荐分包单位或推销材料，不得要求监测服务单位购买合同规定外的材料和设备。</w:t>
      </w:r>
    </w:p>
    <w:p>
      <w:pPr>
        <w:autoSpaceDE/>
        <w:autoSpaceDN/>
        <w:spacing w:line="400" w:lineRule="exact"/>
        <w:ind w:firstLine="420" w:firstLineChars="200"/>
        <w:jc w:val="both"/>
        <w:rPr>
          <w:rFonts w:ascii="Times New Roman" w:hAnsi="Times New Roman" w:cs="Times New Roman"/>
          <w:kern w:val="2"/>
          <w:sz w:val="21"/>
          <w:szCs w:val="21"/>
          <w:lang w:val="en-US" w:bidi="ar-SA"/>
        </w:rPr>
      </w:pPr>
      <w:r>
        <w:rPr>
          <w:rFonts w:ascii="Times New Roman" w:hAnsi="Times New Roman" w:cs="Times New Roman"/>
          <w:kern w:val="2"/>
          <w:sz w:val="21"/>
          <w:szCs w:val="21"/>
          <w:lang w:val="en-US" w:bidi="ar-SA"/>
        </w:rPr>
        <w:t>（8）委托人工作人员要秉公办事，不准营私舞弊，不准利用职权从事各种个人有偿中介活动，不得透露不该公开的与工程有关的任何信息。</w:t>
      </w:r>
    </w:p>
    <w:p>
      <w:pPr>
        <w:autoSpaceDE/>
        <w:autoSpaceDN/>
        <w:spacing w:line="400" w:lineRule="exact"/>
        <w:ind w:firstLine="420" w:firstLineChars="200"/>
        <w:jc w:val="both"/>
        <w:rPr>
          <w:rFonts w:ascii="Times New Roman" w:hAnsi="Times New Roman" w:cs="Times New Roman"/>
          <w:kern w:val="2"/>
          <w:sz w:val="21"/>
          <w:szCs w:val="21"/>
          <w:lang w:val="en-US" w:bidi="ar-SA"/>
        </w:rPr>
      </w:pPr>
      <w:r>
        <w:rPr>
          <w:rFonts w:ascii="Times New Roman" w:hAnsi="Times New Roman" w:cs="Times New Roman"/>
          <w:kern w:val="2"/>
          <w:sz w:val="21"/>
          <w:szCs w:val="21"/>
          <w:lang w:val="en-US" w:bidi="ar-SA"/>
        </w:rPr>
        <w:t>3、监测服务单位的义务</w:t>
      </w:r>
    </w:p>
    <w:p>
      <w:pPr>
        <w:autoSpaceDE/>
        <w:autoSpaceDN/>
        <w:spacing w:line="400" w:lineRule="exact"/>
        <w:ind w:firstLine="420" w:firstLineChars="200"/>
        <w:jc w:val="both"/>
        <w:rPr>
          <w:rFonts w:ascii="Times New Roman" w:hAnsi="Times New Roman" w:cs="Times New Roman"/>
          <w:kern w:val="2"/>
          <w:sz w:val="21"/>
          <w:szCs w:val="21"/>
          <w:lang w:val="en-US" w:bidi="ar-SA"/>
        </w:rPr>
      </w:pPr>
      <w:r>
        <w:rPr>
          <w:rFonts w:ascii="Times New Roman" w:hAnsi="Times New Roman" w:cs="Times New Roman"/>
          <w:kern w:val="2"/>
          <w:sz w:val="21"/>
          <w:szCs w:val="21"/>
          <w:lang w:val="en-US" w:bidi="ar-SA"/>
        </w:rPr>
        <w:t>（1）监测服务单位应认真履行廉洁从业各项要求，建立完善的廉洁管理组织机构，明确廉洁管理员。</w:t>
      </w:r>
    </w:p>
    <w:p>
      <w:pPr>
        <w:autoSpaceDE/>
        <w:autoSpaceDN/>
        <w:spacing w:line="400" w:lineRule="exact"/>
        <w:ind w:firstLine="420" w:firstLineChars="200"/>
        <w:jc w:val="both"/>
        <w:rPr>
          <w:rFonts w:ascii="Times New Roman" w:hAnsi="Times New Roman" w:cs="Times New Roman"/>
          <w:kern w:val="2"/>
          <w:sz w:val="21"/>
          <w:szCs w:val="21"/>
          <w:lang w:val="en-US" w:bidi="ar-SA"/>
        </w:rPr>
      </w:pPr>
      <w:r>
        <w:rPr>
          <w:rFonts w:ascii="Times New Roman" w:hAnsi="Times New Roman" w:cs="Times New Roman"/>
          <w:kern w:val="2"/>
          <w:sz w:val="21"/>
          <w:szCs w:val="21"/>
          <w:lang w:val="en-US" w:bidi="ar-SA"/>
        </w:rPr>
        <w:t>（2）监测服务单位要进行廉洁管理责任分解，层层落实廉洁管理责任，与劳务分包单位、材料供应单位签订《廉洁合同》，制订廉洁责任守则、廉洁考核奖惩办法，按要求建立单位廉洁档案和个人廉洁档案。</w:t>
      </w:r>
    </w:p>
    <w:p>
      <w:pPr>
        <w:autoSpaceDE/>
        <w:autoSpaceDN/>
        <w:spacing w:line="400" w:lineRule="exact"/>
        <w:ind w:firstLine="420" w:firstLineChars="200"/>
        <w:jc w:val="both"/>
        <w:rPr>
          <w:rFonts w:ascii="Times New Roman" w:hAnsi="Times New Roman" w:cs="Times New Roman"/>
          <w:kern w:val="2"/>
          <w:sz w:val="21"/>
          <w:szCs w:val="21"/>
          <w:lang w:val="en-US" w:bidi="ar-SA"/>
        </w:rPr>
      </w:pPr>
      <w:r>
        <w:rPr>
          <w:rFonts w:ascii="Times New Roman" w:hAnsi="Times New Roman" w:cs="Times New Roman"/>
          <w:kern w:val="2"/>
          <w:sz w:val="21"/>
          <w:szCs w:val="21"/>
          <w:lang w:val="en-US" w:bidi="ar-SA"/>
        </w:rPr>
        <w:t>（3）监测服务单位应按照廉洁管理的要求，开展内部廉洁教育，在现场建立廉洁警示牌（栏）、举报箱，公布举报电话、廉洁承诺，公开重大事项。</w:t>
      </w:r>
    </w:p>
    <w:p>
      <w:pPr>
        <w:autoSpaceDE/>
        <w:autoSpaceDN/>
        <w:spacing w:line="400" w:lineRule="exact"/>
        <w:ind w:firstLine="420" w:firstLineChars="200"/>
        <w:jc w:val="both"/>
        <w:rPr>
          <w:rFonts w:ascii="Times New Roman" w:hAnsi="Times New Roman" w:cs="Times New Roman"/>
          <w:kern w:val="2"/>
          <w:sz w:val="21"/>
          <w:szCs w:val="21"/>
          <w:lang w:val="en-US" w:bidi="ar-SA"/>
        </w:rPr>
      </w:pPr>
      <w:r>
        <w:rPr>
          <w:rFonts w:ascii="Times New Roman" w:hAnsi="Times New Roman" w:cs="Times New Roman"/>
          <w:kern w:val="2"/>
          <w:sz w:val="21"/>
          <w:szCs w:val="21"/>
          <w:lang w:val="en-US" w:bidi="ar-SA"/>
        </w:rPr>
        <w:t>（4）监测服务单位对照廉政风险防控手册分析风险点，建立岗位廉洁风险防控机制。</w:t>
      </w:r>
    </w:p>
    <w:p>
      <w:pPr>
        <w:autoSpaceDE/>
        <w:autoSpaceDN/>
        <w:spacing w:line="400" w:lineRule="exact"/>
        <w:ind w:firstLine="420" w:firstLineChars="200"/>
        <w:jc w:val="both"/>
        <w:rPr>
          <w:rFonts w:ascii="Times New Roman" w:hAnsi="Times New Roman" w:cs="Times New Roman"/>
          <w:kern w:val="2"/>
          <w:sz w:val="21"/>
          <w:szCs w:val="21"/>
          <w:lang w:val="en-US" w:bidi="ar-SA"/>
        </w:rPr>
      </w:pPr>
      <w:r>
        <w:rPr>
          <w:rFonts w:ascii="Times New Roman" w:hAnsi="Times New Roman" w:cs="Times New Roman"/>
          <w:kern w:val="2"/>
          <w:sz w:val="21"/>
          <w:szCs w:val="21"/>
          <w:lang w:val="en-US" w:bidi="ar-SA"/>
        </w:rPr>
        <w:t>（5）监测服务单位应保证工程建设资金的管理、使用，不得挪用、截留、挤占，并按规定及时支付农民工工资和材料、工程款。</w:t>
      </w:r>
    </w:p>
    <w:p>
      <w:pPr>
        <w:autoSpaceDE/>
        <w:autoSpaceDN/>
        <w:spacing w:line="400" w:lineRule="exact"/>
        <w:ind w:firstLine="420" w:firstLineChars="200"/>
        <w:jc w:val="both"/>
        <w:rPr>
          <w:rFonts w:ascii="Times New Roman" w:hAnsi="Times New Roman" w:cs="Times New Roman"/>
          <w:kern w:val="2"/>
          <w:sz w:val="21"/>
          <w:szCs w:val="21"/>
          <w:lang w:val="en-US" w:bidi="ar-SA"/>
        </w:rPr>
      </w:pPr>
      <w:r>
        <w:rPr>
          <w:rFonts w:ascii="Times New Roman" w:hAnsi="Times New Roman" w:cs="Times New Roman"/>
          <w:kern w:val="2"/>
          <w:sz w:val="21"/>
          <w:szCs w:val="21"/>
          <w:lang w:val="en-US" w:bidi="ar-SA"/>
        </w:rPr>
        <w:t>（6）监测服务单位不得以任何理由向委托人及其工作人员行贿或馈赠礼金、有价证券、贵重礼品。</w:t>
      </w:r>
    </w:p>
    <w:p>
      <w:pPr>
        <w:autoSpaceDE/>
        <w:autoSpaceDN/>
        <w:spacing w:line="400" w:lineRule="exact"/>
        <w:ind w:firstLine="420" w:firstLineChars="200"/>
        <w:jc w:val="both"/>
        <w:rPr>
          <w:rFonts w:ascii="Times New Roman" w:hAnsi="Times New Roman" w:cs="Times New Roman"/>
          <w:kern w:val="2"/>
          <w:sz w:val="21"/>
          <w:szCs w:val="21"/>
          <w:lang w:val="en-US" w:bidi="ar-SA"/>
        </w:rPr>
      </w:pPr>
      <w:r>
        <w:rPr>
          <w:rFonts w:ascii="Times New Roman" w:hAnsi="Times New Roman" w:cs="Times New Roman"/>
          <w:kern w:val="2"/>
          <w:sz w:val="21"/>
          <w:szCs w:val="21"/>
          <w:lang w:val="en-US" w:bidi="ar-SA"/>
        </w:rPr>
        <w:t>（7）监测服务单位不得以任何名义为委托人及其工作人员报销应由委托人单位或个人支付的任何费用。</w:t>
      </w:r>
    </w:p>
    <w:p>
      <w:pPr>
        <w:autoSpaceDE/>
        <w:autoSpaceDN/>
        <w:spacing w:line="400" w:lineRule="exact"/>
        <w:ind w:firstLine="420" w:firstLineChars="200"/>
        <w:jc w:val="both"/>
        <w:rPr>
          <w:rFonts w:ascii="Times New Roman" w:hAnsi="Times New Roman" w:cs="Times New Roman"/>
          <w:kern w:val="2"/>
          <w:sz w:val="21"/>
          <w:szCs w:val="21"/>
          <w:lang w:val="en-US" w:bidi="ar-SA"/>
        </w:rPr>
      </w:pPr>
      <w:r>
        <w:rPr>
          <w:rFonts w:ascii="Times New Roman" w:hAnsi="Times New Roman" w:cs="Times New Roman"/>
          <w:kern w:val="2"/>
          <w:sz w:val="21"/>
          <w:szCs w:val="21"/>
          <w:lang w:val="en-US" w:bidi="ar-SA"/>
        </w:rPr>
        <w:t>（8）监测服务单位不得以任何理由安排委托人工作人员参加超标准宴请及娱乐活动。</w:t>
      </w:r>
    </w:p>
    <w:p>
      <w:pPr>
        <w:autoSpaceDE/>
        <w:autoSpaceDN/>
        <w:spacing w:line="400" w:lineRule="exact"/>
        <w:ind w:firstLine="420" w:firstLineChars="200"/>
        <w:jc w:val="both"/>
        <w:rPr>
          <w:rFonts w:ascii="Times New Roman" w:hAnsi="Times New Roman" w:cs="Times New Roman"/>
          <w:kern w:val="2"/>
          <w:sz w:val="21"/>
          <w:szCs w:val="21"/>
          <w:lang w:val="en-US" w:bidi="ar-SA"/>
        </w:rPr>
      </w:pPr>
      <w:r>
        <w:rPr>
          <w:rFonts w:ascii="Times New Roman" w:hAnsi="Times New Roman" w:cs="Times New Roman"/>
          <w:kern w:val="2"/>
          <w:sz w:val="21"/>
          <w:szCs w:val="21"/>
          <w:lang w:val="en-US" w:bidi="ar-SA"/>
        </w:rPr>
        <w:t>（9）监测服务单位不得为委托人单位和个人购置或提供通讯工具、交通工具和高档办公用品等。</w:t>
      </w:r>
    </w:p>
    <w:p>
      <w:pPr>
        <w:autoSpaceDE/>
        <w:autoSpaceDN/>
        <w:spacing w:line="400" w:lineRule="exact"/>
        <w:ind w:firstLine="420" w:firstLineChars="200"/>
        <w:jc w:val="both"/>
        <w:rPr>
          <w:rFonts w:ascii="Times New Roman" w:hAnsi="Times New Roman" w:cs="Times New Roman"/>
          <w:kern w:val="2"/>
          <w:sz w:val="21"/>
          <w:szCs w:val="21"/>
          <w:lang w:val="en-US" w:bidi="ar-SA"/>
        </w:rPr>
      </w:pPr>
      <w:r>
        <w:rPr>
          <w:rFonts w:ascii="Times New Roman" w:hAnsi="Times New Roman" w:cs="Times New Roman"/>
          <w:kern w:val="2"/>
          <w:sz w:val="21"/>
          <w:szCs w:val="21"/>
          <w:lang w:val="en-US" w:bidi="ar-SA"/>
        </w:rPr>
        <w:t>（10）监测服务单位在廉洁管理过程中，应对廉洁管理过程中形成的资料完备性进行检查，并整理归档。</w:t>
      </w:r>
    </w:p>
    <w:p>
      <w:pPr>
        <w:autoSpaceDE/>
        <w:autoSpaceDN/>
        <w:spacing w:line="400" w:lineRule="exact"/>
        <w:ind w:firstLine="420" w:firstLineChars="200"/>
        <w:jc w:val="both"/>
        <w:rPr>
          <w:rFonts w:ascii="Times New Roman" w:hAnsi="Times New Roman" w:cs="Times New Roman"/>
          <w:kern w:val="2"/>
          <w:sz w:val="21"/>
          <w:szCs w:val="21"/>
          <w:lang w:val="en-US" w:bidi="ar-SA"/>
        </w:rPr>
      </w:pPr>
      <w:r>
        <w:rPr>
          <w:rFonts w:ascii="Times New Roman" w:hAnsi="Times New Roman" w:cs="Times New Roman"/>
          <w:kern w:val="2"/>
          <w:sz w:val="21"/>
          <w:szCs w:val="21"/>
          <w:lang w:val="en-US" w:bidi="ar-SA"/>
        </w:rPr>
        <w:t>4、违约责任</w:t>
      </w:r>
    </w:p>
    <w:p>
      <w:pPr>
        <w:autoSpaceDE/>
        <w:autoSpaceDN/>
        <w:spacing w:line="400" w:lineRule="exact"/>
        <w:ind w:firstLine="420" w:firstLineChars="200"/>
        <w:jc w:val="both"/>
        <w:rPr>
          <w:rFonts w:ascii="Times New Roman" w:hAnsi="Times New Roman" w:cs="Times New Roman"/>
          <w:kern w:val="2"/>
          <w:sz w:val="21"/>
          <w:szCs w:val="21"/>
          <w:lang w:val="en-US" w:bidi="ar-SA"/>
        </w:rPr>
      </w:pPr>
      <w:r>
        <w:rPr>
          <w:rFonts w:ascii="Times New Roman" w:hAnsi="Times New Roman" w:cs="Times New Roman"/>
          <w:kern w:val="2"/>
          <w:sz w:val="21"/>
          <w:szCs w:val="21"/>
          <w:lang w:val="en-US" w:bidi="ar-SA"/>
        </w:rPr>
        <w:t>（1）委托人及其工作人员违反本合同第1、2条，按管理权限，依据有关规定给予党纪、政纪或组织处理；涉嫌犯罪的，移交司法机关追究刑事责任；给监测服务单位单位造成经济损失的，应予以赔偿。</w:t>
      </w:r>
    </w:p>
    <w:p>
      <w:pPr>
        <w:autoSpaceDE/>
        <w:autoSpaceDN/>
        <w:spacing w:line="400" w:lineRule="exact"/>
        <w:ind w:firstLine="420" w:firstLineChars="200"/>
        <w:jc w:val="both"/>
        <w:rPr>
          <w:rFonts w:ascii="Times New Roman" w:hAnsi="Times New Roman" w:cs="Times New Roman"/>
          <w:kern w:val="2"/>
          <w:sz w:val="21"/>
          <w:szCs w:val="21"/>
          <w:lang w:val="en-US" w:bidi="ar-SA"/>
        </w:rPr>
      </w:pPr>
      <w:r>
        <w:rPr>
          <w:rFonts w:ascii="Times New Roman" w:hAnsi="Times New Roman" w:cs="Times New Roman"/>
          <w:kern w:val="2"/>
          <w:sz w:val="21"/>
          <w:szCs w:val="21"/>
          <w:lang w:val="en-US" w:bidi="ar-SA"/>
        </w:rPr>
        <w:t>（2）监测服务单位及其工作人员违反本合同第1、3条，按管理权限，依据有关规定责令纠正，违反法纪的给予党纪、政纪或组织处理；给委托人单位造成经济损失的，应予以赔偿；情节严重的，委托人建议交通主管部门给予监测服务单位一至三年内不得进入其主管的公路</w:t>
      </w:r>
      <w:r>
        <w:rPr>
          <w:rFonts w:hint="eastAsia" w:ascii="Times New Roman" w:hAnsi="Times New Roman" w:cs="Times New Roman"/>
          <w:kern w:val="2"/>
          <w:sz w:val="21"/>
          <w:szCs w:val="21"/>
          <w:lang w:val="en-US" w:bidi="ar-SA"/>
        </w:rPr>
        <w:t>水运</w:t>
      </w:r>
      <w:r>
        <w:rPr>
          <w:rFonts w:ascii="Times New Roman" w:hAnsi="Times New Roman" w:cs="Times New Roman"/>
          <w:kern w:val="2"/>
          <w:sz w:val="21"/>
          <w:szCs w:val="21"/>
          <w:lang w:val="en-US" w:bidi="ar-SA"/>
        </w:rPr>
        <w:t>建设市场的处罚。</w:t>
      </w:r>
    </w:p>
    <w:p>
      <w:pPr>
        <w:autoSpaceDE/>
        <w:autoSpaceDN/>
        <w:spacing w:line="400" w:lineRule="exact"/>
        <w:ind w:firstLine="420" w:firstLineChars="200"/>
        <w:jc w:val="both"/>
        <w:rPr>
          <w:rFonts w:ascii="Times New Roman" w:hAnsi="Times New Roman" w:cs="Times New Roman"/>
          <w:kern w:val="2"/>
          <w:sz w:val="21"/>
          <w:szCs w:val="21"/>
          <w:lang w:val="en-US" w:bidi="ar-SA"/>
        </w:rPr>
      </w:pPr>
      <w:r>
        <w:rPr>
          <w:rFonts w:ascii="Times New Roman" w:hAnsi="Times New Roman" w:cs="Times New Roman"/>
          <w:kern w:val="2"/>
          <w:sz w:val="21"/>
          <w:szCs w:val="21"/>
          <w:lang w:val="en-US" w:bidi="ar-SA"/>
        </w:rPr>
        <w:t>5、双方约定：本合同由双方或双方上级单位的纪检监察部门负责监督执行。由委托人或委托人上级单位的纪检监察部门约请监测服务单位或监测服务单位上级单位纪检监察部门对本合同执行情况进行检查，提出在本合同规定范围内的裁定意见。</w:t>
      </w:r>
    </w:p>
    <w:p>
      <w:pPr>
        <w:autoSpaceDE/>
        <w:autoSpaceDN/>
        <w:spacing w:line="400" w:lineRule="exact"/>
        <w:ind w:firstLine="420" w:firstLineChars="200"/>
        <w:jc w:val="both"/>
        <w:rPr>
          <w:rFonts w:ascii="Times New Roman" w:hAnsi="Times New Roman" w:cs="Times New Roman"/>
          <w:kern w:val="2"/>
          <w:sz w:val="21"/>
          <w:szCs w:val="21"/>
          <w:lang w:val="en-US" w:bidi="ar-SA"/>
        </w:rPr>
      </w:pPr>
      <w:r>
        <w:rPr>
          <w:rFonts w:ascii="Times New Roman" w:hAnsi="Times New Roman" w:cs="Times New Roman"/>
          <w:kern w:val="2"/>
          <w:sz w:val="21"/>
          <w:szCs w:val="21"/>
          <w:lang w:val="en-US" w:bidi="ar-SA"/>
        </w:rPr>
        <w:t>6、本合同有效期为委托人和监测服务单位签署之日起至该工程项目竣工验收后止。</w:t>
      </w:r>
    </w:p>
    <w:p>
      <w:pPr>
        <w:autoSpaceDE/>
        <w:autoSpaceDN/>
        <w:spacing w:line="400" w:lineRule="exact"/>
        <w:ind w:firstLine="420" w:firstLineChars="200"/>
        <w:jc w:val="both"/>
        <w:rPr>
          <w:rFonts w:ascii="Times New Roman" w:hAnsi="Times New Roman" w:cs="Times New Roman"/>
          <w:kern w:val="2"/>
          <w:sz w:val="21"/>
          <w:szCs w:val="21"/>
          <w:lang w:val="en-US" w:bidi="ar-SA"/>
        </w:rPr>
      </w:pPr>
      <w:r>
        <w:rPr>
          <w:rFonts w:ascii="Times New Roman" w:hAnsi="Times New Roman" w:cs="Times New Roman"/>
          <w:kern w:val="2"/>
          <w:sz w:val="21"/>
          <w:szCs w:val="21"/>
          <w:lang w:val="en-US" w:bidi="ar-SA"/>
        </w:rPr>
        <w:t>7、本合同作为合同的附件，与工程合同具有同等的法律效力，经合同双方签署后立即生效。</w:t>
      </w:r>
    </w:p>
    <w:p>
      <w:pPr>
        <w:autoSpaceDE/>
        <w:autoSpaceDN/>
        <w:spacing w:line="400" w:lineRule="exact"/>
        <w:ind w:firstLine="420" w:firstLineChars="200"/>
        <w:jc w:val="both"/>
        <w:rPr>
          <w:rFonts w:ascii="Times New Roman" w:hAnsi="Times New Roman" w:cs="Times New Roman"/>
          <w:kern w:val="2"/>
          <w:sz w:val="21"/>
          <w:szCs w:val="21"/>
          <w:lang w:val="en-US" w:bidi="ar-SA"/>
        </w:rPr>
      </w:pPr>
      <w:r>
        <w:rPr>
          <w:rFonts w:ascii="Times New Roman" w:hAnsi="Times New Roman" w:cs="Times New Roman"/>
          <w:kern w:val="2"/>
          <w:sz w:val="21"/>
          <w:szCs w:val="21"/>
          <w:lang w:val="en-US" w:bidi="ar-SA"/>
        </w:rPr>
        <w:t>8、本合同一式</w:t>
      </w:r>
      <w:r>
        <w:rPr>
          <w:rFonts w:hint="eastAsia" w:ascii="Times New Roman" w:hAnsi="Times New Roman" w:cs="Times New Roman"/>
          <w:kern w:val="2"/>
          <w:sz w:val="21"/>
          <w:szCs w:val="21"/>
          <w:lang w:val="en-US" w:bidi="ar-SA"/>
        </w:rPr>
        <w:t>三</w:t>
      </w:r>
      <w:r>
        <w:rPr>
          <w:rFonts w:ascii="Times New Roman" w:hAnsi="Times New Roman" w:cs="Times New Roman"/>
          <w:kern w:val="2"/>
          <w:sz w:val="21"/>
          <w:szCs w:val="21"/>
          <w:lang w:val="en-US" w:bidi="ar-SA"/>
        </w:rPr>
        <w:t>份，由委托人和监测服务单位各执—份，送交监督单位一份。</w:t>
      </w:r>
    </w:p>
    <w:p>
      <w:pPr>
        <w:autoSpaceDE/>
        <w:autoSpaceDN/>
        <w:jc w:val="both"/>
        <w:rPr>
          <w:rFonts w:ascii="Times New Roman" w:hAnsi="Times New Roman" w:cs="Times New Roman"/>
          <w:kern w:val="2"/>
          <w:sz w:val="21"/>
          <w:szCs w:val="24"/>
          <w:lang w:val="en-US" w:bidi="ar-SA"/>
        </w:rPr>
      </w:pPr>
    </w:p>
    <w:p>
      <w:pPr>
        <w:autoSpaceDE/>
        <w:autoSpaceDN/>
        <w:jc w:val="both"/>
        <w:rPr>
          <w:rFonts w:ascii="Times New Roman" w:hAnsi="Times New Roman" w:cs="Times New Roman"/>
          <w:kern w:val="2"/>
          <w:sz w:val="21"/>
          <w:szCs w:val="24"/>
          <w:lang w:val="en-US" w:bidi="ar-SA"/>
        </w:rPr>
      </w:pPr>
    </w:p>
    <w:p>
      <w:pPr>
        <w:autoSpaceDE/>
        <w:autoSpaceDN/>
        <w:spacing w:line="440" w:lineRule="exact"/>
        <w:jc w:val="both"/>
        <w:rPr>
          <w:rFonts w:ascii="Times New Roman" w:hAnsi="Times New Roman" w:cs="Times New Roman"/>
          <w:spacing w:val="2"/>
          <w:kern w:val="2"/>
          <w:sz w:val="21"/>
          <w:szCs w:val="21"/>
          <w:lang w:val="en-US" w:bidi="ar-SA"/>
        </w:rPr>
      </w:pPr>
      <w:r>
        <w:rPr>
          <w:rFonts w:hint="eastAsia" w:ascii="Times New Roman" w:hAnsi="Times New Roman" w:cs="Times New Roman"/>
          <w:spacing w:val="2"/>
          <w:kern w:val="2"/>
          <w:sz w:val="21"/>
          <w:szCs w:val="21"/>
          <w:lang w:val="en-US" w:bidi="ar-SA"/>
        </w:rPr>
        <w:t>委托</w:t>
      </w:r>
      <w:r>
        <w:rPr>
          <w:rFonts w:ascii="Times New Roman" w:hAnsi="Times New Roman" w:cs="Times New Roman"/>
          <w:spacing w:val="2"/>
          <w:kern w:val="2"/>
          <w:sz w:val="21"/>
          <w:szCs w:val="21"/>
          <w:lang w:val="en-US" w:bidi="ar-SA"/>
        </w:rPr>
        <w:t>人：                                        监测服务单位：</w:t>
      </w:r>
    </w:p>
    <w:p>
      <w:pPr>
        <w:autoSpaceDE/>
        <w:autoSpaceDN/>
        <w:spacing w:line="440" w:lineRule="exact"/>
        <w:jc w:val="both"/>
        <w:rPr>
          <w:rFonts w:ascii="Times New Roman" w:hAnsi="Times New Roman" w:cs="Times New Roman"/>
          <w:spacing w:val="2"/>
          <w:kern w:val="2"/>
          <w:sz w:val="21"/>
          <w:szCs w:val="21"/>
          <w:lang w:val="en-US" w:bidi="ar-SA"/>
        </w:rPr>
      </w:pPr>
      <w:r>
        <w:rPr>
          <w:rFonts w:ascii="Times New Roman" w:hAnsi="Times New Roman" w:cs="Times New Roman"/>
          <w:kern w:val="2"/>
          <w:sz w:val="21"/>
          <w:szCs w:val="21"/>
          <w:lang w:val="en-US" w:bidi="ar-SA"/>
        </w:rPr>
        <w:t>（盖章）                                             （盖章）</w:t>
      </w:r>
    </w:p>
    <w:p>
      <w:pPr>
        <w:autoSpaceDE/>
        <w:autoSpaceDN/>
        <w:spacing w:line="440" w:lineRule="exact"/>
        <w:jc w:val="both"/>
        <w:rPr>
          <w:rFonts w:ascii="Times New Roman" w:hAnsi="Times New Roman" w:cs="Times New Roman"/>
          <w:spacing w:val="2"/>
          <w:kern w:val="2"/>
          <w:sz w:val="21"/>
          <w:szCs w:val="21"/>
          <w:lang w:val="en-US" w:bidi="ar-SA"/>
        </w:rPr>
      </w:pPr>
      <w:r>
        <w:rPr>
          <w:rFonts w:ascii="Times New Roman" w:hAnsi="Times New Roman" w:cs="Times New Roman"/>
          <w:spacing w:val="2"/>
          <w:kern w:val="2"/>
          <w:sz w:val="21"/>
          <w:szCs w:val="21"/>
          <w:lang w:val="en-US" w:bidi="ar-SA"/>
        </w:rPr>
        <w:t>法定代表人                                    法定代表人</w:t>
      </w:r>
    </w:p>
    <w:p>
      <w:pPr>
        <w:autoSpaceDE/>
        <w:autoSpaceDN/>
        <w:spacing w:line="440" w:lineRule="exact"/>
        <w:jc w:val="both"/>
        <w:rPr>
          <w:rFonts w:ascii="Times New Roman" w:hAnsi="Times New Roman" w:cs="Times New Roman"/>
          <w:spacing w:val="2"/>
          <w:kern w:val="2"/>
          <w:sz w:val="21"/>
          <w:szCs w:val="21"/>
          <w:lang w:val="en-US" w:bidi="ar-SA"/>
        </w:rPr>
      </w:pPr>
      <w:r>
        <w:rPr>
          <w:rFonts w:ascii="Times New Roman" w:hAnsi="Times New Roman" w:cs="Times New Roman"/>
          <w:spacing w:val="2"/>
          <w:kern w:val="2"/>
          <w:sz w:val="21"/>
          <w:szCs w:val="21"/>
          <w:lang w:val="en-US" w:bidi="ar-SA"/>
        </w:rPr>
        <w:t>或其授权代理人：                         或其授权代理人：</w:t>
      </w:r>
    </w:p>
    <w:p>
      <w:pPr>
        <w:autoSpaceDE/>
        <w:autoSpaceDN/>
        <w:spacing w:line="440" w:lineRule="exact"/>
        <w:jc w:val="both"/>
        <w:rPr>
          <w:rFonts w:ascii="Times New Roman" w:hAnsi="Times New Roman" w:cs="Times New Roman"/>
          <w:spacing w:val="2"/>
          <w:kern w:val="2"/>
          <w:sz w:val="21"/>
          <w:szCs w:val="21"/>
          <w:lang w:val="en-US" w:bidi="ar-SA"/>
        </w:rPr>
      </w:pPr>
    </w:p>
    <w:p>
      <w:pPr>
        <w:autoSpaceDE/>
        <w:autoSpaceDN/>
        <w:spacing w:line="440" w:lineRule="exact"/>
        <w:jc w:val="both"/>
        <w:rPr>
          <w:rFonts w:ascii="Times New Roman" w:hAnsi="Times New Roman" w:cs="Times New Roman"/>
          <w:spacing w:val="2"/>
          <w:kern w:val="2"/>
          <w:sz w:val="21"/>
          <w:szCs w:val="21"/>
          <w:lang w:val="en-US" w:bidi="ar-SA"/>
        </w:rPr>
      </w:pPr>
    </w:p>
    <w:p>
      <w:pPr>
        <w:autoSpaceDE/>
        <w:autoSpaceDN/>
        <w:spacing w:line="440" w:lineRule="exact"/>
        <w:jc w:val="both"/>
        <w:rPr>
          <w:rFonts w:ascii="Times New Roman" w:hAnsi="Times New Roman" w:cs="Times New Roman"/>
          <w:spacing w:val="2"/>
          <w:kern w:val="2"/>
          <w:sz w:val="21"/>
          <w:szCs w:val="21"/>
          <w:lang w:val="en-US" w:bidi="ar-SA"/>
        </w:rPr>
      </w:pPr>
    </w:p>
    <w:p>
      <w:pPr>
        <w:wordWrap w:val="0"/>
        <w:autoSpaceDE/>
        <w:autoSpaceDN/>
        <w:jc w:val="right"/>
        <w:rPr>
          <w:rFonts w:ascii="Times New Roman" w:hAnsi="Times New Roman" w:cs="Times New Roman"/>
          <w:kern w:val="2"/>
          <w:sz w:val="21"/>
          <w:szCs w:val="21"/>
          <w:lang w:val="en-US" w:bidi="ar-SA"/>
        </w:rPr>
      </w:pPr>
      <w:r>
        <w:rPr>
          <w:rFonts w:ascii="Times New Roman" w:hAnsi="Times New Roman" w:cs="Times New Roman"/>
          <w:kern w:val="2"/>
          <w:sz w:val="21"/>
          <w:szCs w:val="21"/>
          <w:lang w:val="en-US" w:bidi="ar-SA"/>
        </w:rPr>
        <w:t>签约日期：年月日</w:t>
      </w:r>
    </w:p>
    <w:p>
      <w:pPr>
        <w:widowControl/>
        <w:autoSpaceDE/>
        <w:autoSpaceDN/>
        <w:rPr>
          <w:rFonts w:ascii="Times New Roman" w:hAnsi="Times New Roman" w:cs="Times New Roman"/>
          <w:kern w:val="2"/>
          <w:sz w:val="21"/>
          <w:szCs w:val="24"/>
          <w:lang w:val="en-US" w:bidi="ar-SA"/>
        </w:rPr>
      </w:pPr>
      <w:r>
        <w:rPr>
          <w:rFonts w:ascii="Times New Roman" w:hAnsi="Times New Roman" w:cs="Times New Roman"/>
          <w:kern w:val="2"/>
          <w:sz w:val="21"/>
          <w:szCs w:val="24"/>
          <w:lang w:val="en-US" w:bidi="ar-SA"/>
        </w:rPr>
        <w:br w:type="page"/>
      </w:r>
    </w:p>
    <w:p>
      <w:pPr>
        <w:keepNext/>
        <w:keepLines/>
        <w:autoSpaceDE/>
        <w:autoSpaceDN/>
        <w:adjustRightInd w:val="0"/>
        <w:snapToGrid w:val="0"/>
        <w:spacing w:before="120" w:line="360" w:lineRule="auto"/>
        <w:jc w:val="center"/>
        <w:outlineLvl w:val="1"/>
        <w:rPr>
          <w:rFonts w:ascii="Times New Roman" w:hAnsi="Times New Roman" w:eastAsia="黑体" w:cs="Times New Roman"/>
          <w:b/>
          <w:bCs/>
          <w:kern w:val="2"/>
          <w:sz w:val="32"/>
          <w:szCs w:val="32"/>
          <w:lang w:val="en-US" w:bidi="ar-SA"/>
        </w:rPr>
      </w:pPr>
      <w:r>
        <w:rPr>
          <w:rFonts w:ascii="Times New Roman" w:hAnsi="Times New Roman" w:eastAsia="黑体" w:cs="Times New Roman"/>
          <w:b/>
          <w:bCs/>
          <w:kern w:val="2"/>
          <w:sz w:val="32"/>
          <w:szCs w:val="32"/>
          <w:lang w:val="en-US" w:bidi="ar-SA"/>
        </w:rPr>
        <w:t>第</w:t>
      </w:r>
      <w:r>
        <w:rPr>
          <w:rFonts w:hint="eastAsia" w:ascii="Times New Roman" w:hAnsi="Times New Roman" w:eastAsia="黑体" w:cs="Times New Roman"/>
          <w:b/>
          <w:bCs/>
          <w:kern w:val="2"/>
          <w:sz w:val="32"/>
          <w:szCs w:val="32"/>
          <w:lang w:val="en-US" w:bidi="ar-SA"/>
        </w:rPr>
        <w:t>四</w:t>
      </w:r>
      <w:r>
        <w:rPr>
          <w:rFonts w:ascii="Times New Roman" w:hAnsi="Times New Roman" w:eastAsia="黑体" w:cs="Times New Roman"/>
          <w:b/>
          <w:bCs/>
          <w:kern w:val="2"/>
          <w:sz w:val="32"/>
          <w:szCs w:val="32"/>
          <w:lang w:val="en-US" w:bidi="ar-SA"/>
        </w:rPr>
        <w:t>部分</w:t>
      </w:r>
      <w:r>
        <w:rPr>
          <w:rFonts w:hint="eastAsia" w:ascii="Times New Roman" w:hAnsi="Times New Roman" w:eastAsia="黑体" w:cs="Times New Roman"/>
          <w:b/>
          <w:bCs/>
          <w:kern w:val="2"/>
          <w:sz w:val="32"/>
          <w:szCs w:val="32"/>
          <w:lang w:val="en-US" w:bidi="ar-SA"/>
        </w:rPr>
        <w:t>安全生产</w:t>
      </w:r>
      <w:r>
        <w:rPr>
          <w:rFonts w:ascii="Times New Roman" w:hAnsi="Times New Roman" w:eastAsia="黑体" w:cs="Times New Roman"/>
          <w:b/>
          <w:bCs/>
          <w:kern w:val="2"/>
          <w:sz w:val="32"/>
          <w:szCs w:val="32"/>
          <w:lang w:val="en-US" w:bidi="ar-SA"/>
        </w:rPr>
        <w:t>合同</w:t>
      </w:r>
    </w:p>
    <w:p>
      <w:pPr>
        <w:autoSpaceDE/>
        <w:autoSpaceDN/>
        <w:jc w:val="both"/>
      </w:pPr>
    </w:p>
    <w:p>
      <w:pPr>
        <w:autoSpaceDE/>
        <w:autoSpaceDN/>
        <w:jc w:val="center"/>
        <w:rPr>
          <w:b/>
          <w:bCs/>
          <w:sz w:val="32"/>
          <w:szCs w:val="32"/>
        </w:rPr>
      </w:pPr>
      <w:r>
        <w:rPr>
          <w:b/>
          <w:bCs/>
          <w:sz w:val="32"/>
          <w:szCs w:val="32"/>
        </w:rPr>
        <w:t>安全生产合同</w:t>
      </w:r>
    </w:p>
    <w:p>
      <w:pPr>
        <w:autoSpaceDE/>
        <w:autoSpaceDN/>
        <w:jc w:val="center"/>
      </w:pPr>
    </w:p>
    <w:p>
      <w:pPr>
        <w:autoSpaceDE/>
        <w:autoSpaceDN/>
        <w:snapToGrid w:val="0"/>
        <w:spacing w:line="360" w:lineRule="auto"/>
        <w:ind w:firstLine="440" w:firstLineChars="200"/>
        <w:jc w:val="both"/>
      </w:pPr>
      <w:r>
        <w:t>为在</w:t>
      </w:r>
      <w:r>
        <w:rPr>
          <w:u w:val="single"/>
        </w:rPr>
        <w:t xml:space="preserve"> （项目名称）（合同段号） </w:t>
      </w:r>
      <w:r>
        <w:t>合同的实施过程中创造安全、高效的工作环境，切实搞好本项目的安全管理工作， 项目法人 （以下简称“委托人”）与该项目标段的监测服务单位（以下简称“监测服务单位”）， 特订立如下合同。</w:t>
      </w:r>
    </w:p>
    <w:p>
      <w:pPr>
        <w:autoSpaceDE/>
        <w:autoSpaceDN/>
        <w:snapToGrid w:val="0"/>
        <w:spacing w:line="360" w:lineRule="auto"/>
        <w:ind w:firstLine="440" w:firstLineChars="200"/>
        <w:jc w:val="both"/>
      </w:pPr>
      <w:r>
        <w:t xml:space="preserve">一、委托人职责 </w:t>
      </w:r>
    </w:p>
    <w:p>
      <w:pPr>
        <w:autoSpaceDE/>
        <w:autoSpaceDN/>
        <w:snapToGrid w:val="0"/>
        <w:spacing w:line="360" w:lineRule="auto"/>
        <w:ind w:firstLine="440" w:firstLineChars="200"/>
        <w:jc w:val="both"/>
      </w:pPr>
      <w:r>
        <w:t xml:space="preserve">1．严格遵守国家有关安全生产的法律法规，认真执行沉降观测合同中的有关安全要求。 </w:t>
      </w:r>
    </w:p>
    <w:p>
      <w:pPr>
        <w:autoSpaceDE/>
        <w:autoSpaceDN/>
        <w:snapToGrid w:val="0"/>
        <w:spacing w:line="360" w:lineRule="auto"/>
        <w:ind w:firstLine="440" w:firstLineChars="200"/>
        <w:jc w:val="both"/>
      </w:pPr>
      <w:r>
        <w:t xml:space="preserve">2．按照“安全第一、预防为主”和坚持“管生产必须管安全”的原则进行安全生产管理，做到 生产与安全工作同时计划、布置、检查、总结和评比。 </w:t>
      </w:r>
    </w:p>
    <w:p>
      <w:pPr>
        <w:autoSpaceDE/>
        <w:autoSpaceDN/>
        <w:snapToGrid w:val="0"/>
        <w:spacing w:line="360" w:lineRule="auto"/>
        <w:ind w:firstLine="440" w:firstLineChars="200"/>
        <w:jc w:val="both"/>
      </w:pPr>
      <w:r>
        <w:t xml:space="preserve">3．重要的安全设施必须坚持与主体工程“三同时”的原则，即：同时设计、审批，同时施工， 同时验收，投入使用。 </w:t>
      </w:r>
    </w:p>
    <w:p>
      <w:pPr>
        <w:autoSpaceDE/>
        <w:autoSpaceDN/>
        <w:snapToGrid w:val="0"/>
        <w:spacing w:line="360" w:lineRule="auto"/>
        <w:ind w:firstLine="440" w:firstLineChars="200"/>
        <w:jc w:val="both"/>
      </w:pPr>
      <w:r>
        <w:t>4．定期召开安全生产调度会，及时传达中央及地方有关安全生产的精神。</w:t>
      </w:r>
    </w:p>
    <w:p>
      <w:pPr>
        <w:autoSpaceDE/>
        <w:autoSpaceDN/>
        <w:snapToGrid w:val="0"/>
        <w:spacing w:line="360" w:lineRule="auto"/>
        <w:ind w:firstLine="440" w:firstLineChars="200"/>
        <w:jc w:val="both"/>
      </w:pPr>
      <w:r>
        <w:t xml:space="preserve"> 5．组织对监测服务单位施测现场安全生产检查，监督监测服务单位及时处理发现的各项安全隐患。</w:t>
      </w:r>
    </w:p>
    <w:p>
      <w:pPr>
        <w:autoSpaceDE/>
        <w:autoSpaceDN/>
        <w:snapToGrid w:val="0"/>
        <w:spacing w:line="360" w:lineRule="auto"/>
        <w:ind w:firstLine="440" w:firstLineChars="200"/>
        <w:jc w:val="both"/>
      </w:pPr>
      <w:r>
        <w:t xml:space="preserve">二、监测服务单位职责 </w:t>
      </w:r>
    </w:p>
    <w:p>
      <w:pPr>
        <w:autoSpaceDE/>
        <w:autoSpaceDN/>
        <w:snapToGrid w:val="0"/>
        <w:spacing w:line="360" w:lineRule="auto"/>
        <w:ind w:firstLine="440" w:firstLineChars="200"/>
        <w:jc w:val="both"/>
      </w:pPr>
      <w:r>
        <w:t xml:space="preserve">1．严格遵守国家有关安全生产的法律法规和有关安全生产的规定，认真执行沉降观测合同中的 有关安全要求。 </w:t>
      </w:r>
    </w:p>
    <w:p>
      <w:pPr>
        <w:autoSpaceDE/>
        <w:autoSpaceDN/>
        <w:snapToGrid w:val="0"/>
        <w:spacing w:line="360" w:lineRule="auto"/>
        <w:ind w:firstLine="440" w:firstLineChars="200"/>
        <w:jc w:val="both"/>
      </w:pPr>
      <w:r>
        <w:t xml:space="preserve">2．坚持“安全第一、预防为主”和“管生产必须管安全”的原则，加强安全生产宣传教育，增 强全员安全生产意识，建立健全各项安全生产的管理机构和安全生产管理制度，配备专职及兼职安全 检查人员，有组织有领导地开展安全生产活动。各级领导、技术人员、生产管理人员和具体操作人员，必须熟悉和遵守本条款的各项规定，做到生产与安全工作同时计划、布置、检查、总结和评比。 </w:t>
      </w:r>
    </w:p>
    <w:p>
      <w:pPr>
        <w:autoSpaceDE/>
        <w:autoSpaceDN/>
        <w:snapToGrid w:val="0"/>
        <w:spacing w:line="360" w:lineRule="auto"/>
        <w:ind w:firstLine="440" w:firstLineChars="200"/>
        <w:jc w:val="both"/>
      </w:pPr>
      <w:r>
        <w:t>3．建立健全安全生产责任制。从派往项目实施的项目负责人到生产工人（包括临时雇请的民工）的安全生产管理系统必须做到纵向到底，一环不漏；各职能部门、人员的安全生产责任制做到横 向到边，人人有责。项目负责人是安全生产的第一责任人。现场设置的安全机构，应按</w:t>
      </w:r>
      <w:r>
        <w:rPr>
          <w:rFonts w:hint="eastAsia"/>
        </w:rPr>
        <w:t>规定</w:t>
      </w:r>
      <w:r>
        <w:t xml:space="preserve">配备安全员，负责所有员工的安全和治安保卫工作及预防事故的发生。安全机构人员，有权按有关规定发布指令，并采取保护性措施防止事故发生。 </w:t>
      </w:r>
    </w:p>
    <w:p>
      <w:pPr>
        <w:autoSpaceDE/>
        <w:autoSpaceDN/>
        <w:snapToGrid w:val="0"/>
        <w:spacing w:line="360" w:lineRule="auto"/>
        <w:ind w:firstLine="440" w:firstLineChars="200"/>
        <w:jc w:val="both"/>
      </w:pPr>
      <w:r>
        <w:t xml:space="preserve">4．监测服务单位在任何时候都应采取各种合理的预防措施，防止其员工发生任何违法、违禁、暴 力或妨碍治安的行为。 </w:t>
      </w:r>
    </w:p>
    <w:p>
      <w:pPr>
        <w:autoSpaceDE/>
        <w:autoSpaceDN/>
        <w:snapToGrid w:val="0"/>
        <w:spacing w:line="360" w:lineRule="auto"/>
        <w:ind w:firstLine="440" w:firstLineChars="200"/>
        <w:jc w:val="both"/>
      </w:pPr>
      <w:r>
        <w:t xml:space="preserve">5．监测服务单位应按国家和有关部门的规定，加强沉降观测现场人员与设备的安全管理，对沉降 观测现场的防台风、防火、防爆、防汛和防盗等采取严格的安全防护措施，并承担由于措施不力造成 的事故责任和因此发生的费用。 </w:t>
      </w:r>
    </w:p>
    <w:p>
      <w:pPr>
        <w:autoSpaceDE/>
        <w:autoSpaceDN/>
        <w:snapToGrid w:val="0"/>
        <w:spacing w:line="360" w:lineRule="auto"/>
        <w:ind w:firstLine="440" w:firstLineChars="200"/>
        <w:jc w:val="both"/>
      </w:pPr>
      <w:r>
        <w:t xml:space="preserve">6．监测服务单位必须具有劳动安全管理部门颁发的安全生产证书，参加施测的人员，必须接受安 全技术教育，熟知和遵守本工种的各项安全技术操作规程，定期进行安全技术考核，合格者方准上岗 操作。对于从事电气、起重、建筑登高架设作业、锅炉、压力容器、焊接、机动车船驾驶、爆破、潜水、瓦斯检验等特殊工种的人员。经过专业培训，获得《安全操作合格证》后，方准持证上岗。项目 现场如出现特种作业无证操作现象时，项目负责人必须承担管理责任。 </w:t>
      </w:r>
    </w:p>
    <w:p>
      <w:pPr>
        <w:autoSpaceDE/>
        <w:autoSpaceDN/>
        <w:snapToGrid w:val="0"/>
        <w:spacing w:line="360" w:lineRule="auto"/>
        <w:ind w:firstLine="440" w:firstLineChars="200"/>
        <w:jc w:val="both"/>
      </w:pPr>
      <w:r>
        <w:t xml:space="preserve">7．对于易燃易爆的材料除应专门妥善保管之外，还应配备有足够的消防设施，所有施测人员都 应熟悉消防设备的性能和使用方法；监测服务单位不得将任何种类的爆炸物给予、易货或以其他方式转 让给任何其他人，或允许、容忍上述同样行为。 </w:t>
      </w:r>
    </w:p>
    <w:p>
      <w:pPr>
        <w:autoSpaceDE/>
        <w:autoSpaceDN/>
        <w:snapToGrid w:val="0"/>
        <w:spacing w:line="360" w:lineRule="auto"/>
        <w:ind w:firstLine="440" w:firstLineChars="200"/>
        <w:jc w:val="both"/>
      </w:pPr>
      <w:r>
        <w:t xml:space="preserve">8．操作人员上岗，必须按规定穿戴防护用品。项目负责人和安全检查员应随时检查劳动防护用 品的穿戴情况，不按规定穿戴防护用品的人员不得上岗。 </w:t>
      </w:r>
    </w:p>
    <w:p>
      <w:pPr>
        <w:autoSpaceDE/>
        <w:autoSpaceDN/>
        <w:snapToGrid w:val="0"/>
        <w:spacing w:line="360" w:lineRule="auto"/>
        <w:ind w:firstLine="440" w:firstLineChars="200"/>
        <w:jc w:val="both"/>
      </w:pPr>
      <w:r>
        <w:t xml:space="preserve">9．所有机具设备和高空作业的设备均应定期检查，并有安全员的签字记录，保证其经常处于完 好状态；不合格的机具、设备和劳动保护用品严禁使用。 </w:t>
      </w:r>
    </w:p>
    <w:p>
      <w:pPr>
        <w:autoSpaceDE/>
        <w:autoSpaceDN/>
        <w:snapToGrid w:val="0"/>
        <w:spacing w:line="360" w:lineRule="auto"/>
        <w:ind w:firstLine="440" w:firstLineChars="200"/>
        <w:jc w:val="both"/>
      </w:pPr>
      <w:r>
        <w:t xml:space="preserve">10．施测现场必须具有相关的安全标志牌。 </w:t>
      </w:r>
    </w:p>
    <w:p>
      <w:pPr>
        <w:autoSpaceDE/>
        <w:autoSpaceDN/>
        <w:snapToGrid w:val="0"/>
        <w:spacing w:line="360" w:lineRule="auto"/>
        <w:ind w:firstLine="440" w:firstLineChars="200"/>
        <w:jc w:val="both"/>
      </w:pPr>
      <w:r>
        <w:t xml:space="preserve">11．监测服务单位必须按照本项目特点，组织制定本项目实施中的生产安全事故应急救援预案；如 果发生安全事故，应按照《国务院关于特大安全事故行政责任追究的规定》以及其它有关规定，及时 上报有关部门，并坚持“四不放过”的原则，严肃处理相关责任人。 </w:t>
      </w:r>
    </w:p>
    <w:p>
      <w:pPr>
        <w:autoSpaceDE/>
        <w:autoSpaceDN/>
        <w:snapToGrid w:val="0"/>
        <w:spacing w:line="360" w:lineRule="auto"/>
        <w:ind w:firstLine="440" w:firstLineChars="200"/>
        <w:jc w:val="both"/>
      </w:pPr>
      <w:r>
        <w:t xml:space="preserve">三、违约责任 如因委托人或监测服务单位违约造成安全事故，将依法追究责任。 </w:t>
      </w:r>
    </w:p>
    <w:p>
      <w:pPr>
        <w:autoSpaceDE/>
        <w:autoSpaceDN/>
        <w:snapToGrid w:val="0"/>
        <w:spacing w:line="360" w:lineRule="auto"/>
        <w:ind w:firstLine="440" w:firstLineChars="200"/>
        <w:jc w:val="both"/>
      </w:pPr>
      <w:r>
        <w:rPr>
          <w:rFonts w:hint="eastAsia"/>
        </w:rPr>
        <w:t>四、</w:t>
      </w:r>
      <w:r>
        <w:t>本合同一式</w:t>
      </w:r>
      <w:r>
        <w:rPr>
          <w:rFonts w:hint="eastAsia"/>
        </w:rPr>
        <w:t>二</w:t>
      </w:r>
      <w:r>
        <w:t xml:space="preserve">份，合同各方各执一份。由双方法定代表人或其授权的代理人签署与加盖公章后生效，全部工程竣工验收后失效。 </w:t>
      </w:r>
    </w:p>
    <w:p>
      <w:pPr>
        <w:autoSpaceDE/>
        <w:autoSpaceDN/>
        <w:ind w:firstLine="440" w:firstLineChars="200"/>
        <w:jc w:val="both"/>
      </w:pPr>
    </w:p>
    <w:p>
      <w:pPr>
        <w:autoSpaceDE/>
        <w:autoSpaceDN/>
        <w:spacing w:line="440" w:lineRule="exact"/>
        <w:jc w:val="both"/>
        <w:rPr>
          <w:rFonts w:ascii="Times New Roman" w:hAnsi="Times New Roman" w:cs="Times New Roman"/>
          <w:spacing w:val="2"/>
          <w:kern w:val="2"/>
          <w:sz w:val="21"/>
          <w:szCs w:val="21"/>
          <w:lang w:val="en-US" w:bidi="ar-SA"/>
        </w:rPr>
      </w:pPr>
      <w:r>
        <w:rPr>
          <w:rFonts w:hint="eastAsia" w:ascii="Times New Roman" w:hAnsi="Times New Roman" w:cs="Times New Roman"/>
          <w:spacing w:val="2"/>
          <w:kern w:val="2"/>
          <w:sz w:val="21"/>
          <w:szCs w:val="21"/>
          <w:lang w:val="en-US" w:bidi="ar-SA"/>
        </w:rPr>
        <w:t>委托</w:t>
      </w:r>
      <w:r>
        <w:rPr>
          <w:rFonts w:ascii="Times New Roman" w:hAnsi="Times New Roman" w:cs="Times New Roman"/>
          <w:spacing w:val="2"/>
          <w:kern w:val="2"/>
          <w:sz w:val="21"/>
          <w:szCs w:val="21"/>
          <w:lang w:val="en-US" w:bidi="ar-SA"/>
        </w:rPr>
        <w:t>人：                                                监测服务单位：</w:t>
      </w:r>
    </w:p>
    <w:p>
      <w:pPr>
        <w:autoSpaceDE/>
        <w:autoSpaceDN/>
        <w:spacing w:line="440" w:lineRule="exact"/>
        <w:ind w:firstLine="1470" w:firstLineChars="700"/>
        <w:jc w:val="both"/>
        <w:rPr>
          <w:rFonts w:ascii="Times New Roman" w:hAnsi="Times New Roman" w:cs="Times New Roman"/>
          <w:spacing w:val="2"/>
          <w:kern w:val="2"/>
          <w:sz w:val="21"/>
          <w:szCs w:val="21"/>
          <w:lang w:val="en-US" w:bidi="ar-SA"/>
        </w:rPr>
      </w:pPr>
      <w:r>
        <w:rPr>
          <w:rFonts w:ascii="Times New Roman" w:hAnsi="Times New Roman" w:cs="Times New Roman"/>
          <w:kern w:val="2"/>
          <w:sz w:val="21"/>
          <w:szCs w:val="21"/>
          <w:lang w:val="en-US" w:bidi="ar-SA"/>
        </w:rPr>
        <w:t>（盖章）                                                   （盖章）</w:t>
      </w:r>
    </w:p>
    <w:p>
      <w:pPr>
        <w:autoSpaceDE/>
        <w:autoSpaceDN/>
        <w:spacing w:line="440" w:lineRule="exact"/>
        <w:jc w:val="both"/>
        <w:rPr>
          <w:rFonts w:ascii="Times New Roman" w:hAnsi="Times New Roman" w:cs="Times New Roman"/>
          <w:spacing w:val="2"/>
          <w:kern w:val="2"/>
          <w:sz w:val="21"/>
          <w:szCs w:val="21"/>
          <w:lang w:val="en-US" w:bidi="ar-SA"/>
        </w:rPr>
      </w:pPr>
      <w:r>
        <w:rPr>
          <w:rFonts w:ascii="Times New Roman" w:hAnsi="Times New Roman" w:cs="Times New Roman"/>
          <w:spacing w:val="2"/>
          <w:kern w:val="2"/>
          <w:sz w:val="21"/>
          <w:szCs w:val="21"/>
          <w:lang w:val="en-US" w:bidi="ar-SA"/>
        </w:rPr>
        <w:t>法定代表人                                           法定代表人</w:t>
      </w:r>
    </w:p>
    <w:p>
      <w:pPr>
        <w:autoSpaceDE/>
        <w:autoSpaceDN/>
        <w:spacing w:line="440" w:lineRule="exact"/>
        <w:jc w:val="both"/>
        <w:rPr>
          <w:rFonts w:ascii="Times New Roman" w:hAnsi="Times New Roman" w:cs="Times New Roman"/>
          <w:spacing w:val="2"/>
          <w:kern w:val="2"/>
          <w:sz w:val="21"/>
          <w:szCs w:val="21"/>
          <w:lang w:val="en-US" w:bidi="ar-SA"/>
        </w:rPr>
      </w:pPr>
      <w:r>
        <w:rPr>
          <w:rFonts w:ascii="Times New Roman" w:hAnsi="Times New Roman" w:cs="Times New Roman"/>
          <w:spacing w:val="2"/>
          <w:kern w:val="2"/>
          <w:sz w:val="21"/>
          <w:szCs w:val="21"/>
          <w:lang w:val="en-US" w:bidi="ar-SA"/>
        </w:rPr>
        <w:t>或其授权代理人：                                或其授权代理人：</w:t>
      </w:r>
    </w:p>
    <w:p>
      <w:pPr>
        <w:autoSpaceDE/>
        <w:autoSpaceDN/>
        <w:spacing w:line="440" w:lineRule="exact"/>
        <w:jc w:val="both"/>
        <w:rPr>
          <w:rFonts w:ascii="Times New Roman" w:hAnsi="Times New Roman" w:cs="Times New Roman"/>
          <w:spacing w:val="2"/>
          <w:kern w:val="2"/>
          <w:sz w:val="21"/>
          <w:szCs w:val="21"/>
          <w:lang w:val="en-US" w:bidi="ar-SA"/>
        </w:rPr>
      </w:pPr>
    </w:p>
    <w:p>
      <w:pPr>
        <w:wordWrap w:val="0"/>
        <w:autoSpaceDE/>
        <w:autoSpaceDN/>
        <w:jc w:val="right"/>
        <w:rPr>
          <w:rFonts w:ascii="Times New Roman" w:hAnsi="Times New Roman" w:cs="Times New Roman"/>
          <w:kern w:val="2"/>
          <w:sz w:val="21"/>
          <w:szCs w:val="21"/>
          <w:lang w:val="en-US" w:bidi="ar-SA"/>
        </w:rPr>
      </w:pPr>
      <w:r>
        <w:rPr>
          <w:rFonts w:ascii="Times New Roman" w:hAnsi="Times New Roman" w:cs="Times New Roman"/>
          <w:kern w:val="2"/>
          <w:sz w:val="21"/>
          <w:szCs w:val="21"/>
          <w:lang w:val="en-US" w:bidi="ar-SA"/>
        </w:rPr>
        <w:t>签约日期：年月日</w:t>
      </w:r>
    </w:p>
    <w:p>
      <w:pPr>
        <w:autoSpaceDE/>
        <w:autoSpaceDN/>
        <w:spacing w:line="440" w:lineRule="exact"/>
        <w:jc w:val="both"/>
        <w:rPr>
          <w:rFonts w:ascii="Times New Roman" w:hAnsi="Times New Roman" w:cs="Times New Roman"/>
          <w:spacing w:val="2"/>
          <w:kern w:val="2"/>
          <w:sz w:val="21"/>
          <w:szCs w:val="21"/>
          <w:lang w:val="en-US" w:bidi="ar-SA"/>
        </w:rPr>
      </w:pPr>
    </w:p>
    <w:p>
      <w:pPr>
        <w:widowControl/>
        <w:autoSpaceDE/>
        <w:autoSpaceDN/>
        <w:rPr>
          <w:rFonts w:ascii="Microsoft JhengHei" w:eastAsia="Microsoft JhengHei"/>
          <w:b/>
          <w:sz w:val="32"/>
        </w:rPr>
      </w:pPr>
      <w:r>
        <w:rPr>
          <w:rFonts w:ascii="Microsoft JhengHei" w:eastAsia="Microsoft JhengHei"/>
          <w:b/>
          <w:sz w:val="32"/>
        </w:rPr>
        <w:br w:type="page"/>
      </w:r>
    </w:p>
    <w:p>
      <w:pPr>
        <w:spacing w:line="449" w:lineRule="exact"/>
        <w:ind w:left="2835" w:right="3314"/>
        <w:jc w:val="center"/>
        <w:rPr>
          <w:rFonts w:ascii="Microsoft JhengHei" w:eastAsia="Microsoft JhengHei"/>
          <w:b/>
          <w:sz w:val="32"/>
        </w:rPr>
      </w:pPr>
      <w:r>
        <w:rPr>
          <w:rFonts w:hint="eastAsia" w:ascii="Microsoft JhengHei" w:eastAsia="Microsoft JhengHei"/>
          <w:b/>
          <w:sz w:val="32"/>
        </w:rPr>
        <w:t>技术规范</w:t>
      </w:r>
    </w:p>
    <w:p>
      <w:pPr>
        <w:pStyle w:val="27"/>
        <w:tabs>
          <w:tab w:val="left" w:pos="348"/>
        </w:tabs>
        <w:spacing w:before="160"/>
        <w:ind w:left="348" w:firstLine="420" w:firstLineChars="200"/>
        <w:rPr>
          <w:sz w:val="21"/>
          <w:szCs w:val="21"/>
        </w:rPr>
      </w:pPr>
      <w:r>
        <w:rPr>
          <w:rFonts w:hint="eastAsia"/>
          <w:sz w:val="21"/>
          <w:szCs w:val="21"/>
        </w:rPr>
        <w:t>本工程的监测服务工作必须符合国家、</w:t>
      </w:r>
      <w:r>
        <w:rPr>
          <w:rFonts w:hint="eastAsia"/>
          <w:sz w:val="21"/>
          <w:szCs w:val="21"/>
          <w:lang w:val="en-US"/>
        </w:rPr>
        <w:t>省、市</w:t>
      </w:r>
      <w:r>
        <w:rPr>
          <w:rFonts w:hint="eastAsia"/>
          <w:sz w:val="21"/>
          <w:szCs w:val="21"/>
        </w:rPr>
        <w:t>标准及现行标准、规范、规程、定额、办法、示例以及</w:t>
      </w:r>
      <w:r>
        <w:rPr>
          <w:rFonts w:hint="eastAsia"/>
          <w:sz w:val="21"/>
          <w:szCs w:val="21"/>
          <w:lang w:val="en-US"/>
        </w:rPr>
        <w:t>相关</w:t>
      </w:r>
      <w:r>
        <w:rPr>
          <w:sz w:val="21"/>
          <w:szCs w:val="21"/>
        </w:rPr>
        <w:t>部门</w:t>
      </w:r>
      <w:r>
        <w:rPr>
          <w:rFonts w:hint="eastAsia"/>
          <w:sz w:val="21"/>
          <w:szCs w:val="21"/>
        </w:rPr>
        <w:t>下发的相关文件、规定。</w:t>
      </w:r>
    </w:p>
    <w:p>
      <w:pPr>
        <w:pStyle w:val="27"/>
        <w:tabs>
          <w:tab w:val="left" w:pos="348"/>
        </w:tabs>
        <w:spacing w:before="160"/>
        <w:ind w:left="348" w:firstLine="420" w:firstLineChars="200"/>
        <w:rPr>
          <w:sz w:val="24"/>
        </w:rPr>
      </w:pPr>
      <w:r>
        <w:rPr>
          <w:rFonts w:hint="eastAsia"/>
          <w:sz w:val="21"/>
          <w:szCs w:val="21"/>
        </w:rPr>
        <w:t>监测方案需征得委托人的认可。</w:t>
      </w:r>
    </w:p>
    <w:p>
      <w:pPr>
        <w:rPr>
          <w:sz w:val="24"/>
        </w:rPr>
        <w:sectPr>
          <w:pgSz w:w="11910" w:h="16840"/>
          <w:pgMar w:top="1361" w:right="1474" w:bottom="1361" w:left="1474" w:header="720" w:footer="720" w:gutter="0"/>
          <w:cols w:space="720" w:num="1"/>
        </w:sectPr>
      </w:pPr>
    </w:p>
    <w:p>
      <w:pPr>
        <w:pStyle w:val="13"/>
        <w:rPr>
          <w:rFonts w:ascii="Microsoft JhengHei"/>
          <w:b/>
          <w:sz w:val="20"/>
        </w:rPr>
      </w:pPr>
    </w:p>
    <w:p>
      <w:pPr>
        <w:pStyle w:val="13"/>
        <w:rPr>
          <w:rFonts w:ascii="Microsoft JhengHei" w:hAnsi="Microsoft JhengHei" w:cs="Microsoft JhengHei" w:eastAsiaTheme="minorEastAsia"/>
          <w:b/>
          <w:bCs/>
          <w:sz w:val="36"/>
          <w:szCs w:val="36"/>
          <w:u w:color="000000"/>
        </w:rPr>
      </w:pPr>
      <w:r>
        <w:rPr>
          <w:rFonts w:hint="eastAsia" w:ascii="Microsoft JhengHei" w:hAnsi="Microsoft JhengHei" w:cs="Microsoft JhengHei" w:eastAsiaTheme="minorEastAsia"/>
          <w:b/>
          <w:bCs/>
          <w:u w:color="000000"/>
        </w:rPr>
        <w:t>第一信封</w:t>
      </w:r>
    </w:p>
    <w:p>
      <w:pPr>
        <w:pStyle w:val="13"/>
        <w:rPr>
          <w:rFonts w:ascii="Microsoft JhengHei" w:hAnsi="Microsoft JhengHei" w:cs="Microsoft JhengHei" w:eastAsiaTheme="minorEastAsia"/>
          <w:b/>
          <w:bCs/>
          <w:sz w:val="36"/>
          <w:szCs w:val="36"/>
          <w:u w:color="000000"/>
        </w:rPr>
      </w:pPr>
    </w:p>
    <w:p>
      <w:pPr>
        <w:pStyle w:val="13"/>
        <w:jc w:val="center"/>
        <w:rPr>
          <w:rFonts w:ascii="黑体" w:eastAsiaTheme="minorEastAsia"/>
          <w:sz w:val="36"/>
          <w:szCs w:val="36"/>
          <w:u w:val="single"/>
        </w:rPr>
      </w:pPr>
      <w:r>
        <w:rPr>
          <w:rFonts w:hint="eastAsia" w:ascii="Microsoft JhengHei" w:hAnsi="Microsoft JhengHei" w:cs="Microsoft JhengHei" w:eastAsiaTheme="minorEastAsia"/>
          <w:b/>
          <w:bCs/>
          <w:sz w:val="36"/>
          <w:szCs w:val="36"/>
          <w:u w:val="single"/>
        </w:rPr>
        <w:t>项目名称</w:t>
      </w:r>
    </w:p>
    <w:p>
      <w:pPr>
        <w:pStyle w:val="13"/>
        <w:rPr>
          <w:rFonts w:ascii="黑体"/>
          <w:sz w:val="20"/>
        </w:rPr>
      </w:pPr>
    </w:p>
    <w:p>
      <w:pPr>
        <w:pStyle w:val="13"/>
        <w:rPr>
          <w:rFonts w:ascii="黑体"/>
          <w:sz w:val="20"/>
        </w:rPr>
      </w:pPr>
    </w:p>
    <w:p>
      <w:pPr>
        <w:pStyle w:val="13"/>
        <w:rPr>
          <w:rFonts w:ascii="黑体"/>
          <w:sz w:val="20"/>
        </w:rPr>
      </w:pPr>
    </w:p>
    <w:p>
      <w:pPr>
        <w:pStyle w:val="13"/>
        <w:rPr>
          <w:rFonts w:ascii="黑体"/>
          <w:sz w:val="20"/>
        </w:rPr>
      </w:pPr>
    </w:p>
    <w:p>
      <w:pPr>
        <w:pStyle w:val="13"/>
        <w:rPr>
          <w:rFonts w:ascii="黑体"/>
          <w:sz w:val="20"/>
        </w:rPr>
      </w:pPr>
    </w:p>
    <w:p>
      <w:pPr>
        <w:pStyle w:val="13"/>
        <w:spacing w:before="7"/>
        <w:rPr>
          <w:rFonts w:ascii="黑体"/>
          <w:sz w:val="20"/>
        </w:rPr>
      </w:pPr>
    </w:p>
    <w:p>
      <w:pPr>
        <w:pStyle w:val="2"/>
        <w:spacing w:line="593" w:lineRule="exact"/>
      </w:pPr>
      <w:r>
        <w:t>投  标  文 件</w:t>
      </w:r>
    </w:p>
    <w:p>
      <w:pPr>
        <w:pStyle w:val="13"/>
        <w:rPr>
          <w:rFonts w:ascii="Microsoft JhengHei"/>
          <w:b/>
          <w:sz w:val="36"/>
        </w:rPr>
      </w:pPr>
    </w:p>
    <w:p>
      <w:pPr>
        <w:pStyle w:val="13"/>
        <w:spacing w:before="9"/>
        <w:rPr>
          <w:rFonts w:ascii="Microsoft JhengHei"/>
          <w:b/>
          <w:sz w:val="39"/>
        </w:rPr>
      </w:pPr>
    </w:p>
    <w:p>
      <w:pPr>
        <w:ind w:right="139"/>
        <w:jc w:val="center"/>
        <w:rPr>
          <w:rFonts w:ascii="Microsoft JhengHei" w:eastAsia="Microsoft JhengHei"/>
          <w:b/>
          <w:sz w:val="36"/>
        </w:rPr>
      </w:pPr>
      <w:r>
        <w:rPr>
          <w:rFonts w:hint="eastAsia" w:ascii="Microsoft JhengHei" w:eastAsia="Microsoft JhengHei"/>
          <w:b/>
          <w:sz w:val="36"/>
        </w:rPr>
        <w:t>（商务及技术文件）</w:t>
      </w:r>
    </w:p>
    <w:p>
      <w:pPr>
        <w:pStyle w:val="13"/>
        <w:rPr>
          <w:rFonts w:ascii="Microsoft JhengHei"/>
          <w:b/>
          <w:sz w:val="36"/>
        </w:rPr>
      </w:pPr>
    </w:p>
    <w:p>
      <w:pPr>
        <w:pStyle w:val="13"/>
        <w:rPr>
          <w:rFonts w:ascii="Microsoft JhengHei"/>
          <w:b/>
          <w:sz w:val="36"/>
        </w:rPr>
      </w:pPr>
    </w:p>
    <w:p>
      <w:pPr>
        <w:pStyle w:val="13"/>
        <w:rPr>
          <w:rFonts w:ascii="Microsoft JhengHei"/>
          <w:b/>
          <w:sz w:val="36"/>
        </w:rPr>
      </w:pPr>
    </w:p>
    <w:p>
      <w:pPr>
        <w:pStyle w:val="13"/>
        <w:rPr>
          <w:rFonts w:ascii="Microsoft JhengHei"/>
          <w:b/>
          <w:sz w:val="36"/>
        </w:rPr>
      </w:pPr>
    </w:p>
    <w:p>
      <w:pPr>
        <w:pStyle w:val="13"/>
        <w:spacing w:before="2"/>
        <w:rPr>
          <w:rFonts w:ascii="Microsoft JhengHei"/>
          <w:b/>
          <w:sz w:val="30"/>
        </w:rPr>
      </w:pPr>
    </w:p>
    <w:p>
      <w:pPr>
        <w:pStyle w:val="6"/>
        <w:spacing w:line="240" w:lineRule="auto"/>
        <w:ind w:left="0" w:right="139"/>
        <w:jc w:val="center"/>
        <w:rPr>
          <w:u w:val="none"/>
        </w:rPr>
      </w:pPr>
      <w:r>
        <w:rPr>
          <w:spacing w:val="-4"/>
          <w:u w:val="none"/>
        </w:rPr>
        <w:t>投 标 人：</w:t>
      </w:r>
      <w:r>
        <w:rPr>
          <w:u w:val="none"/>
        </w:rPr>
        <w:t>（盖单位章）</w:t>
      </w:r>
    </w:p>
    <w:p>
      <w:pPr>
        <w:pStyle w:val="13"/>
        <w:spacing w:before="14"/>
        <w:rPr>
          <w:rFonts w:ascii="Microsoft JhengHei"/>
          <w:b/>
          <w:sz w:val="8"/>
        </w:rPr>
      </w:pPr>
    </w:p>
    <w:p>
      <w:pPr>
        <w:spacing w:line="484" w:lineRule="exact"/>
        <w:ind w:right="139"/>
        <w:jc w:val="center"/>
        <w:rPr>
          <w:rFonts w:ascii="Microsoft JhengHei" w:eastAsia="Microsoft JhengHei"/>
          <w:b/>
          <w:sz w:val="28"/>
        </w:rPr>
      </w:pPr>
      <w:r>
        <w:rPr>
          <w:rFonts w:hint="eastAsia" w:ascii="Microsoft JhengHei" w:eastAsia="Microsoft JhengHei"/>
          <w:b/>
          <w:sz w:val="28"/>
        </w:rPr>
        <w:t>年  月 日</w:t>
      </w:r>
    </w:p>
    <w:p>
      <w:pPr>
        <w:spacing w:line="484" w:lineRule="exact"/>
        <w:jc w:val="center"/>
        <w:rPr>
          <w:rFonts w:ascii="Microsoft JhengHei" w:eastAsia="Microsoft JhengHei"/>
          <w:sz w:val="28"/>
        </w:rPr>
        <w:sectPr>
          <w:pgSz w:w="12240" w:h="15840"/>
          <w:pgMar w:top="1361" w:right="1474" w:bottom="1361" w:left="1474" w:header="720" w:footer="720" w:gutter="0"/>
          <w:cols w:space="720" w:num="1"/>
        </w:sectPr>
      </w:pPr>
    </w:p>
    <w:p>
      <w:pPr>
        <w:spacing w:before="25"/>
        <w:ind w:right="139"/>
        <w:jc w:val="center"/>
        <w:rPr>
          <w:sz w:val="36"/>
        </w:rPr>
      </w:pPr>
      <w:r>
        <w:rPr>
          <w:sz w:val="36"/>
        </w:rPr>
        <w:t>投标函</w:t>
      </w:r>
    </w:p>
    <w:p>
      <w:pPr>
        <w:pStyle w:val="13"/>
        <w:rPr>
          <w:sz w:val="20"/>
        </w:rPr>
      </w:pPr>
    </w:p>
    <w:p>
      <w:pPr>
        <w:pStyle w:val="13"/>
        <w:spacing w:beforeLines="50" w:afterLines="50"/>
        <w:ind w:left="102"/>
        <w:rPr>
          <w:sz w:val="23"/>
          <w:szCs w:val="23"/>
        </w:rPr>
      </w:pPr>
      <w:r>
        <w:rPr>
          <w:sz w:val="23"/>
          <w:szCs w:val="23"/>
          <w:u w:val="single"/>
        </w:rPr>
        <w:t>（招标人名称）</w:t>
      </w:r>
      <w:r>
        <w:rPr>
          <w:sz w:val="23"/>
          <w:szCs w:val="23"/>
        </w:rPr>
        <w:t xml:space="preserve">： </w:t>
      </w:r>
    </w:p>
    <w:p>
      <w:pPr>
        <w:pStyle w:val="13"/>
        <w:spacing w:line="360" w:lineRule="auto"/>
        <w:ind w:firstLine="460" w:firstLineChars="200"/>
        <w:rPr>
          <w:sz w:val="23"/>
          <w:szCs w:val="23"/>
        </w:rPr>
      </w:pPr>
      <w:r>
        <w:rPr>
          <w:sz w:val="23"/>
          <w:szCs w:val="23"/>
        </w:rPr>
        <w:t>1、我方在仔细研究了</w:t>
      </w:r>
      <w:r>
        <w:rPr>
          <w:sz w:val="23"/>
          <w:szCs w:val="23"/>
          <w:u w:val="single"/>
        </w:rPr>
        <w:t>（项目名称）</w:t>
      </w:r>
      <w:r>
        <w:rPr>
          <w:sz w:val="23"/>
          <w:szCs w:val="23"/>
        </w:rPr>
        <w:t>的招标文件并了解该项目基本情况后，决定参加该项目投标。在此郑重表示，我们愿意按照招标文件确定的投入力量和工作方案、遵照招标文件规定的责任和义务、并以投标文件第二信封报价函上的投标总价，承担本项目的服务工作。</w:t>
      </w:r>
    </w:p>
    <w:p>
      <w:pPr>
        <w:pStyle w:val="13"/>
        <w:spacing w:line="360" w:lineRule="auto"/>
        <w:ind w:firstLine="460" w:firstLineChars="200"/>
        <w:rPr>
          <w:sz w:val="23"/>
          <w:szCs w:val="23"/>
        </w:rPr>
      </w:pPr>
      <w:r>
        <w:rPr>
          <w:sz w:val="23"/>
          <w:szCs w:val="23"/>
        </w:rPr>
        <w:t>2、我单位一旦中选，将保证按本投标文件配备的人员提供服务，即</w:t>
      </w:r>
      <w:r>
        <w:rPr>
          <w:rFonts w:hint="eastAsia"/>
          <w:sz w:val="23"/>
          <w:szCs w:val="23"/>
        </w:rPr>
        <w:t>：</w:t>
      </w:r>
    </w:p>
    <w:p>
      <w:pPr>
        <w:pStyle w:val="13"/>
        <w:spacing w:line="360" w:lineRule="auto"/>
        <w:ind w:firstLine="460" w:firstLineChars="200"/>
        <w:rPr>
          <w:sz w:val="23"/>
          <w:szCs w:val="23"/>
        </w:rPr>
      </w:pPr>
      <w:r>
        <w:rPr>
          <w:sz w:val="23"/>
          <w:szCs w:val="23"/>
        </w:rPr>
        <w:t>（1）项目负责人：,身份证号为</w:t>
      </w:r>
      <w:r>
        <w:rPr>
          <w:rFonts w:hint="eastAsia"/>
          <w:sz w:val="23"/>
          <w:szCs w:val="23"/>
        </w:rPr>
        <w:t>：</w:t>
      </w:r>
      <w:r>
        <w:rPr>
          <w:sz w:val="23"/>
          <w:szCs w:val="23"/>
        </w:rPr>
        <w:t>；</w:t>
      </w:r>
    </w:p>
    <w:p>
      <w:pPr>
        <w:pStyle w:val="13"/>
        <w:spacing w:line="360" w:lineRule="auto"/>
        <w:ind w:firstLine="460" w:firstLineChars="200"/>
        <w:rPr>
          <w:sz w:val="23"/>
          <w:szCs w:val="23"/>
        </w:rPr>
      </w:pPr>
      <w:r>
        <w:rPr>
          <w:sz w:val="23"/>
          <w:szCs w:val="23"/>
        </w:rPr>
        <w:t>3、计划服务周期：。</w:t>
      </w:r>
    </w:p>
    <w:p>
      <w:pPr>
        <w:pStyle w:val="13"/>
        <w:spacing w:line="360" w:lineRule="auto"/>
        <w:ind w:firstLine="460" w:firstLineChars="200"/>
        <w:rPr>
          <w:sz w:val="23"/>
          <w:szCs w:val="23"/>
        </w:rPr>
      </w:pPr>
      <w:r>
        <w:rPr>
          <w:sz w:val="23"/>
          <w:szCs w:val="23"/>
        </w:rPr>
        <w:t>4、我方承诺：由于我单位自身因素需更换项目负责人、</w:t>
      </w:r>
      <w:r>
        <w:rPr>
          <w:rFonts w:hint="eastAsia"/>
          <w:sz w:val="23"/>
          <w:szCs w:val="23"/>
          <w:lang w:val="en-US"/>
        </w:rPr>
        <w:t>监测服务</w:t>
      </w:r>
      <w:r>
        <w:rPr>
          <w:sz w:val="23"/>
          <w:szCs w:val="23"/>
        </w:rPr>
        <w:t>人员，必须履行规定的报批手续，你单位有权因此决定是否继续执行合同或者是终止合同。项目负责人、</w:t>
      </w:r>
      <w:r>
        <w:rPr>
          <w:rFonts w:hint="eastAsia"/>
          <w:sz w:val="23"/>
          <w:szCs w:val="23"/>
          <w:lang w:val="en-US"/>
        </w:rPr>
        <w:t>监测服务</w:t>
      </w:r>
      <w:r>
        <w:rPr>
          <w:sz w:val="23"/>
          <w:szCs w:val="23"/>
        </w:rPr>
        <w:t>人员按规定履职。</w:t>
      </w:r>
    </w:p>
    <w:p>
      <w:pPr>
        <w:pStyle w:val="13"/>
        <w:spacing w:line="360" w:lineRule="auto"/>
        <w:ind w:firstLine="460" w:firstLineChars="200"/>
        <w:rPr>
          <w:sz w:val="23"/>
          <w:szCs w:val="23"/>
        </w:rPr>
      </w:pPr>
      <w:r>
        <w:rPr>
          <w:sz w:val="23"/>
          <w:szCs w:val="23"/>
        </w:rPr>
        <w:t>5、我方同意所递交的投标文件在“投标人须知”前附表规定的投标有效期内有效，在此期限届满之前，本投标函将始终对我方具有约束力，并随时接受中选。</w:t>
      </w:r>
    </w:p>
    <w:p>
      <w:pPr>
        <w:pStyle w:val="13"/>
        <w:spacing w:line="360" w:lineRule="auto"/>
        <w:ind w:firstLine="460" w:firstLineChars="200"/>
        <w:rPr>
          <w:sz w:val="23"/>
          <w:szCs w:val="23"/>
        </w:rPr>
      </w:pPr>
      <w:r>
        <w:rPr>
          <w:sz w:val="23"/>
          <w:szCs w:val="23"/>
        </w:rPr>
        <w:t>6、如果你单位接受我们的投标文件，我们保证按照投标文件的约定及时与你方按招标文件中服务合同的格式及内容签署服务合同。</w:t>
      </w:r>
    </w:p>
    <w:p>
      <w:pPr>
        <w:pStyle w:val="13"/>
        <w:spacing w:line="360" w:lineRule="auto"/>
        <w:ind w:firstLine="460" w:firstLineChars="200"/>
        <w:rPr>
          <w:sz w:val="23"/>
          <w:szCs w:val="23"/>
        </w:rPr>
      </w:pPr>
      <w:r>
        <w:rPr>
          <w:sz w:val="23"/>
          <w:szCs w:val="23"/>
        </w:rPr>
        <w:t>7、除非另外达成协议并生效，你方的招标文件、中标通知书和本投标文件将构成约束我们</w:t>
      </w:r>
      <w:r>
        <w:rPr>
          <w:rFonts w:hint="eastAsia"/>
          <w:sz w:val="23"/>
          <w:szCs w:val="23"/>
        </w:rPr>
        <w:t>三</w:t>
      </w:r>
      <w:r>
        <w:rPr>
          <w:sz w:val="23"/>
          <w:szCs w:val="23"/>
        </w:rPr>
        <w:t>方的合同。</w:t>
      </w:r>
    </w:p>
    <w:p>
      <w:pPr>
        <w:pStyle w:val="13"/>
        <w:spacing w:line="360" w:lineRule="auto"/>
        <w:ind w:firstLine="460" w:firstLineChars="200"/>
        <w:rPr>
          <w:sz w:val="23"/>
          <w:szCs w:val="23"/>
        </w:rPr>
      </w:pPr>
      <w:r>
        <w:rPr>
          <w:sz w:val="23"/>
          <w:szCs w:val="23"/>
        </w:rPr>
        <w:t xml:space="preserve">8、 （其他补充说明）。 </w:t>
      </w:r>
    </w:p>
    <w:p>
      <w:pPr>
        <w:pStyle w:val="13"/>
        <w:spacing w:line="240" w:lineRule="atLeast"/>
        <w:ind w:left="5860"/>
        <w:rPr>
          <w:sz w:val="23"/>
          <w:szCs w:val="23"/>
        </w:rPr>
      </w:pPr>
      <w:r>
        <w:rPr>
          <w:sz w:val="23"/>
          <w:szCs w:val="23"/>
        </w:rPr>
        <w:t xml:space="preserve">投标人：（盖单位章） </w:t>
      </w:r>
    </w:p>
    <w:p>
      <w:pPr>
        <w:pStyle w:val="13"/>
        <w:spacing w:line="240" w:lineRule="atLeast"/>
        <w:rPr>
          <w:sz w:val="23"/>
          <w:szCs w:val="23"/>
        </w:rPr>
      </w:pPr>
    </w:p>
    <w:p>
      <w:pPr>
        <w:pStyle w:val="13"/>
        <w:spacing w:line="240" w:lineRule="atLeast"/>
        <w:ind w:left="4180"/>
        <w:rPr>
          <w:sz w:val="23"/>
          <w:szCs w:val="23"/>
        </w:rPr>
      </w:pPr>
      <w:r>
        <w:rPr>
          <w:sz w:val="23"/>
          <w:szCs w:val="23"/>
        </w:rPr>
        <w:t xml:space="preserve">法定代表人或其委托代理人：（签字） </w:t>
      </w:r>
    </w:p>
    <w:p>
      <w:pPr>
        <w:pStyle w:val="13"/>
        <w:spacing w:line="240" w:lineRule="atLeast"/>
        <w:ind w:right="239"/>
        <w:jc w:val="right"/>
        <w:rPr>
          <w:sz w:val="23"/>
          <w:szCs w:val="23"/>
        </w:rPr>
      </w:pPr>
      <w:r>
        <w:rPr>
          <w:sz w:val="23"/>
          <w:szCs w:val="23"/>
        </w:rPr>
        <w:t>地址：</w:t>
      </w:r>
    </w:p>
    <w:p>
      <w:pPr>
        <w:pStyle w:val="13"/>
        <w:spacing w:line="240" w:lineRule="atLeast"/>
        <w:rPr>
          <w:sz w:val="23"/>
          <w:szCs w:val="23"/>
        </w:rPr>
      </w:pPr>
    </w:p>
    <w:p>
      <w:pPr>
        <w:pStyle w:val="13"/>
        <w:spacing w:line="240" w:lineRule="atLeast"/>
        <w:ind w:right="239"/>
        <w:jc w:val="right"/>
        <w:rPr>
          <w:sz w:val="23"/>
          <w:szCs w:val="23"/>
        </w:rPr>
      </w:pPr>
      <w:r>
        <w:rPr>
          <w:sz w:val="23"/>
          <w:szCs w:val="23"/>
        </w:rPr>
        <w:t>网址：</w:t>
      </w:r>
    </w:p>
    <w:p>
      <w:pPr>
        <w:pStyle w:val="13"/>
        <w:spacing w:line="240" w:lineRule="atLeast"/>
        <w:rPr>
          <w:sz w:val="13"/>
        </w:rPr>
      </w:pPr>
    </w:p>
    <w:p>
      <w:pPr>
        <w:pStyle w:val="13"/>
        <w:spacing w:line="240" w:lineRule="atLeast"/>
        <w:ind w:right="239"/>
        <w:jc w:val="right"/>
      </w:pPr>
      <w:r>
        <w:t>电话：</w:t>
      </w:r>
    </w:p>
    <w:p>
      <w:pPr>
        <w:pStyle w:val="13"/>
        <w:spacing w:line="240" w:lineRule="atLeast"/>
        <w:rPr>
          <w:sz w:val="13"/>
        </w:rPr>
      </w:pPr>
    </w:p>
    <w:p>
      <w:pPr>
        <w:pStyle w:val="13"/>
        <w:spacing w:line="240" w:lineRule="atLeast"/>
        <w:ind w:right="239"/>
        <w:jc w:val="right"/>
      </w:pPr>
      <w:r>
        <w:t>传真：</w:t>
      </w:r>
    </w:p>
    <w:p>
      <w:pPr>
        <w:pStyle w:val="13"/>
        <w:spacing w:line="240" w:lineRule="atLeast"/>
        <w:rPr>
          <w:sz w:val="13"/>
        </w:rPr>
      </w:pPr>
    </w:p>
    <w:p>
      <w:pPr>
        <w:pStyle w:val="13"/>
        <w:spacing w:line="240" w:lineRule="atLeast"/>
        <w:ind w:right="239"/>
        <w:jc w:val="right"/>
      </w:pPr>
      <w:r>
        <w:t>邮政编码：</w:t>
      </w:r>
    </w:p>
    <w:p>
      <w:pPr>
        <w:pStyle w:val="13"/>
        <w:spacing w:line="240" w:lineRule="atLeast"/>
        <w:rPr>
          <w:sz w:val="13"/>
        </w:rPr>
      </w:pPr>
    </w:p>
    <w:p>
      <w:pPr>
        <w:pStyle w:val="13"/>
        <w:spacing w:line="240" w:lineRule="atLeast"/>
        <w:ind w:left="5500"/>
      </w:pPr>
      <w:r>
        <w:t xml:space="preserve">日 期 ： 年 月日 </w:t>
      </w:r>
    </w:p>
    <w:p>
      <w:pPr>
        <w:sectPr>
          <w:pgSz w:w="12240" w:h="15840"/>
          <w:pgMar w:top="1361" w:right="1474" w:bottom="1361" w:left="1474" w:header="720" w:footer="720" w:gutter="0"/>
          <w:cols w:space="720" w:num="1"/>
        </w:sectPr>
      </w:pPr>
    </w:p>
    <w:p>
      <w:pPr>
        <w:jc w:val="center"/>
        <w:rPr>
          <w:sz w:val="36"/>
          <w:szCs w:val="36"/>
        </w:rPr>
      </w:pPr>
      <w:r>
        <w:rPr>
          <w:rFonts w:hint="eastAsia"/>
          <w:sz w:val="36"/>
          <w:szCs w:val="36"/>
        </w:rPr>
        <w:t>投标函附录</w:t>
      </w:r>
    </w:p>
    <w:tbl>
      <w:tblPr>
        <w:tblStyle w:val="20"/>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900"/>
        <w:gridCol w:w="5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8" w:type="dxa"/>
            <w:vAlign w:val="center"/>
          </w:tcPr>
          <w:p>
            <w:pPr>
              <w:jc w:val="center"/>
              <w:rPr>
                <w:sz w:val="23"/>
                <w:szCs w:val="23"/>
              </w:rPr>
            </w:pPr>
            <w:r>
              <w:rPr>
                <w:rFonts w:hint="eastAsia"/>
                <w:sz w:val="23"/>
                <w:szCs w:val="23"/>
              </w:rPr>
              <w:t>序号</w:t>
            </w:r>
          </w:p>
        </w:tc>
        <w:tc>
          <w:tcPr>
            <w:tcW w:w="2900" w:type="dxa"/>
            <w:vAlign w:val="center"/>
          </w:tcPr>
          <w:p>
            <w:pPr>
              <w:jc w:val="center"/>
              <w:rPr>
                <w:sz w:val="23"/>
                <w:szCs w:val="23"/>
              </w:rPr>
            </w:pPr>
            <w:r>
              <w:rPr>
                <w:rFonts w:hint="eastAsia"/>
                <w:sz w:val="23"/>
                <w:szCs w:val="23"/>
              </w:rPr>
              <w:t>事项</w:t>
            </w:r>
          </w:p>
        </w:tc>
        <w:tc>
          <w:tcPr>
            <w:tcW w:w="5292" w:type="dxa"/>
            <w:vAlign w:val="center"/>
          </w:tcPr>
          <w:p>
            <w:pPr>
              <w:jc w:val="center"/>
              <w:rPr>
                <w:sz w:val="23"/>
                <w:szCs w:val="23"/>
              </w:rPr>
            </w:pPr>
            <w:r>
              <w:rPr>
                <w:rFonts w:hint="eastAsia"/>
                <w:sz w:val="23"/>
                <w:szCs w:val="23"/>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8" w:type="dxa"/>
            <w:vAlign w:val="center"/>
          </w:tcPr>
          <w:p>
            <w:pPr>
              <w:jc w:val="center"/>
              <w:rPr>
                <w:sz w:val="23"/>
                <w:szCs w:val="23"/>
              </w:rPr>
            </w:pPr>
            <w:r>
              <w:rPr>
                <w:rFonts w:hint="eastAsia"/>
                <w:sz w:val="23"/>
                <w:szCs w:val="23"/>
              </w:rPr>
              <w:t>1</w:t>
            </w:r>
          </w:p>
        </w:tc>
        <w:tc>
          <w:tcPr>
            <w:tcW w:w="2900" w:type="dxa"/>
            <w:vAlign w:val="center"/>
          </w:tcPr>
          <w:p>
            <w:pPr>
              <w:rPr>
                <w:sz w:val="23"/>
                <w:szCs w:val="23"/>
              </w:rPr>
            </w:pPr>
            <w:r>
              <w:rPr>
                <w:rFonts w:hint="eastAsia"/>
                <w:sz w:val="23"/>
                <w:szCs w:val="23"/>
              </w:rPr>
              <w:t>投标保证金金额</w:t>
            </w:r>
          </w:p>
        </w:tc>
        <w:tc>
          <w:tcPr>
            <w:tcW w:w="5292" w:type="dxa"/>
            <w:vAlign w:val="center"/>
          </w:tcPr>
          <w:p>
            <w:pPr>
              <w:rPr>
                <w:sz w:val="23"/>
                <w:szCs w:val="23"/>
              </w:rPr>
            </w:pPr>
            <w:r>
              <w:rPr>
                <w:rFonts w:hint="eastAsia"/>
                <w:sz w:val="23"/>
                <w:szCs w:val="23"/>
              </w:rPr>
              <w:t xml:space="preserve">人民币元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8" w:type="dxa"/>
            <w:vAlign w:val="center"/>
          </w:tcPr>
          <w:p>
            <w:pPr>
              <w:jc w:val="center"/>
              <w:rPr>
                <w:sz w:val="23"/>
                <w:szCs w:val="23"/>
              </w:rPr>
            </w:pPr>
            <w:r>
              <w:rPr>
                <w:rFonts w:hint="eastAsia"/>
                <w:sz w:val="23"/>
                <w:szCs w:val="23"/>
              </w:rPr>
              <w:t>2</w:t>
            </w:r>
          </w:p>
        </w:tc>
        <w:tc>
          <w:tcPr>
            <w:tcW w:w="2900" w:type="dxa"/>
            <w:vAlign w:val="center"/>
          </w:tcPr>
          <w:p>
            <w:pPr>
              <w:rPr>
                <w:sz w:val="23"/>
                <w:szCs w:val="23"/>
              </w:rPr>
            </w:pPr>
            <w:r>
              <w:rPr>
                <w:rFonts w:hint="eastAsia"/>
                <w:sz w:val="23"/>
                <w:szCs w:val="23"/>
              </w:rPr>
              <w:t>工作周期</w:t>
            </w:r>
          </w:p>
        </w:tc>
        <w:tc>
          <w:tcPr>
            <w:tcW w:w="5292" w:type="dxa"/>
            <w:vAlign w:val="center"/>
          </w:tcPr>
          <w:p>
            <w:pPr>
              <w:rPr>
                <w:sz w:val="23"/>
                <w:szCs w:val="23"/>
                <w:u w:val="single"/>
              </w:rPr>
            </w:pPr>
            <w:r>
              <w:rPr>
                <w:rFonts w:hint="eastAsia"/>
                <w:sz w:val="23"/>
                <w:szCs w:val="23"/>
                <w:u w:val="single"/>
              </w:rPr>
              <w:t>满足招标文件规定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8" w:type="dxa"/>
            <w:vAlign w:val="center"/>
          </w:tcPr>
          <w:p>
            <w:pPr>
              <w:jc w:val="center"/>
              <w:rPr>
                <w:sz w:val="23"/>
                <w:szCs w:val="23"/>
              </w:rPr>
            </w:pPr>
            <w:r>
              <w:rPr>
                <w:rFonts w:hint="eastAsia"/>
                <w:sz w:val="23"/>
                <w:szCs w:val="23"/>
              </w:rPr>
              <w:t>3</w:t>
            </w:r>
          </w:p>
        </w:tc>
        <w:tc>
          <w:tcPr>
            <w:tcW w:w="2900" w:type="dxa"/>
            <w:vAlign w:val="center"/>
          </w:tcPr>
          <w:p>
            <w:pPr>
              <w:rPr>
                <w:sz w:val="23"/>
                <w:szCs w:val="23"/>
              </w:rPr>
            </w:pPr>
            <w:r>
              <w:rPr>
                <w:rFonts w:hint="eastAsia"/>
                <w:sz w:val="23"/>
                <w:szCs w:val="23"/>
              </w:rPr>
              <w:t>履约担保的金额</w:t>
            </w:r>
          </w:p>
        </w:tc>
        <w:tc>
          <w:tcPr>
            <w:tcW w:w="5292" w:type="dxa"/>
            <w:vAlign w:val="center"/>
          </w:tcPr>
          <w:p>
            <w:pPr>
              <w:rPr>
                <w:sz w:val="23"/>
                <w:szCs w:val="23"/>
                <w:u w:val="single"/>
              </w:rPr>
            </w:pPr>
            <w:r>
              <w:rPr>
                <w:rFonts w:hint="eastAsia"/>
                <w:sz w:val="23"/>
                <w:szCs w:val="23"/>
              </w:rPr>
              <w:t>合同价的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8" w:type="dxa"/>
            <w:vAlign w:val="center"/>
          </w:tcPr>
          <w:p>
            <w:pPr>
              <w:jc w:val="center"/>
              <w:rPr>
                <w:sz w:val="23"/>
                <w:szCs w:val="23"/>
              </w:rPr>
            </w:pPr>
            <w:r>
              <w:rPr>
                <w:rFonts w:hint="eastAsia"/>
                <w:sz w:val="23"/>
                <w:szCs w:val="23"/>
              </w:rPr>
              <w:t>4</w:t>
            </w:r>
          </w:p>
        </w:tc>
        <w:tc>
          <w:tcPr>
            <w:tcW w:w="2900" w:type="dxa"/>
            <w:vAlign w:val="center"/>
          </w:tcPr>
          <w:p>
            <w:pPr>
              <w:rPr>
                <w:sz w:val="23"/>
                <w:szCs w:val="23"/>
              </w:rPr>
            </w:pPr>
            <w:r>
              <w:rPr>
                <w:rFonts w:hint="eastAsia"/>
                <w:sz w:val="23"/>
                <w:szCs w:val="23"/>
              </w:rPr>
              <w:t xml:space="preserve">预付款 </w:t>
            </w:r>
          </w:p>
        </w:tc>
        <w:tc>
          <w:tcPr>
            <w:tcW w:w="5292" w:type="dxa"/>
            <w:vAlign w:val="center"/>
          </w:tcPr>
          <w:p>
            <w:pPr>
              <w:rPr>
                <w:sz w:val="23"/>
                <w:szCs w:val="23"/>
              </w:rPr>
            </w:pPr>
            <w:r>
              <w:rPr>
                <w:rFonts w:hint="eastAsia"/>
                <w:sz w:val="23"/>
                <w:szCs w:val="23"/>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8" w:type="dxa"/>
            <w:vAlign w:val="center"/>
          </w:tcPr>
          <w:p>
            <w:pPr>
              <w:jc w:val="center"/>
              <w:rPr>
                <w:sz w:val="23"/>
                <w:szCs w:val="23"/>
              </w:rPr>
            </w:pPr>
            <w:r>
              <w:rPr>
                <w:rFonts w:hint="eastAsia"/>
                <w:sz w:val="23"/>
                <w:szCs w:val="23"/>
              </w:rPr>
              <w:t>5</w:t>
            </w:r>
          </w:p>
        </w:tc>
        <w:tc>
          <w:tcPr>
            <w:tcW w:w="2900" w:type="dxa"/>
            <w:vAlign w:val="center"/>
          </w:tcPr>
          <w:p>
            <w:pPr>
              <w:rPr>
                <w:sz w:val="23"/>
                <w:szCs w:val="23"/>
              </w:rPr>
            </w:pPr>
            <w:r>
              <w:rPr>
                <w:rFonts w:hint="eastAsia"/>
                <w:sz w:val="23"/>
                <w:szCs w:val="23"/>
              </w:rPr>
              <w:t xml:space="preserve">账目货币 </w:t>
            </w:r>
          </w:p>
        </w:tc>
        <w:tc>
          <w:tcPr>
            <w:tcW w:w="5292" w:type="dxa"/>
            <w:vAlign w:val="center"/>
          </w:tcPr>
          <w:p>
            <w:pPr>
              <w:rPr>
                <w:sz w:val="23"/>
                <w:szCs w:val="23"/>
              </w:rPr>
            </w:pPr>
            <w:r>
              <w:rPr>
                <w:rFonts w:hint="eastAsia"/>
                <w:sz w:val="23"/>
                <w:szCs w:val="23"/>
              </w:rPr>
              <w:t xml:space="preserve">人民币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988" w:type="dxa"/>
            <w:vAlign w:val="center"/>
          </w:tcPr>
          <w:p>
            <w:pPr>
              <w:jc w:val="center"/>
              <w:rPr>
                <w:sz w:val="23"/>
                <w:szCs w:val="23"/>
              </w:rPr>
            </w:pPr>
            <w:r>
              <w:rPr>
                <w:rFonts w:hint="eastAsia"/>
                <w:sz w:val="23"/>
                <w:szCs w:val="23"/>
              </w:rPr>
              <w:t>6</w:t>
            </w:r>
          </w:p>
        </w:tc>
        <w:tc>
          <w:tcPr>
            <w:tcW w:w="2900" w:type="dxa"/>
            <w:vAlign w:val="center"/>
          </w:tcPr>
          <w:p>
            <w:pPr>
              <w:rPr>
                <w:sz w:val="23"/>
                <w:szCs w:val="23"/>
              </w:rPr>
            </w:pPr>
            <w:r>
              <w:rPr>
                <w:rFonts w:hint="eastAsia"/>
                <w:sz w:val="23"/>
                <w:szCs w:val="23"/>
              </w:rPr>
              <w:t>业主方未支付金额的利率</w:t>
            </w:r>
          </w:p>
        </w:tc>
        <w:tc>
          <w:tcPr>
            <w:tcW w:w="5292" w:type="dxa"/>
            <w:vAlign w:val="center"/>
          </w:tcPr>
          <w:p>
            <w:pPr>
              <w:rPr>
                <w:sz w:val="23"/>
                <w:szCs w:val="23"/>
              </w:rPr>
            </w:pPr>
            <w:r>
              <w:rPr>
                <w:rFonts w:hint="eastAsia"/>
                <w:sz w:val="23"/>
                <w:szCs w:val="23"/>
              </w:rPr>
              <w:t>满足招标文件规定</w:t>
            </w:r>
          </w:p>
        </w:tc>
      </w:tr>
    </w:tbl>
    <w:p>
      <w:pPr>
        <w:rPr>
          <w:sz w:val="23"/>
          <w:szCs w:val="23"/>
        </w:rPr>
      </w:pPr>
    </w:p>
    <w:p>
      <w:pPr>
        <w:rPr>
          <w:sz w:val="23"/>
          <w:szCs w:val="23"/>
        </w:rPr>
      </w:pPr>
    </w:p>
    <w:p>
      <w:pPr>
        <w:spacing w:line="360" w:lineRule="auto"/>
        <w:rPr>
          <w:sz w:val="23"/>
          <w:szCs w:val="23"/>
        </w:rPr>
      </w:pPr>
    </w:p>
    <w:p>
      <w:pPr>
        <w:pStyle w:val="13"/>
        <w:spacing w:line="360" w:lineRule="auto"/>
        <w:rPr>
          <w:sz w:val="23"/>
          <w:szCs w:val="23"/>
        </w:rPr>
      </w:pPr>
      <w:r>
        <w:rPr>
          <w:sz w:val="23"/>
          <w:szCs w:val="23"/>
        </w:rPr>
        <w:t xml:space="preserve">投标人：（盖单位章） </w:t>
      </w:r>
    </w:p>
    <w:p>
      <w:pPr>
        <w:pStyle w:val="13"/>
        <w:spacing w:line="360" w:lineRule="auto"/>
        <w:rPr>
          <w:sz w:val="23"/>
          <w:szCs w:val="23"/>
        </w:rPr>
      </w:pPr>
      <w:r>
        <w:rPr>
          <w:sz w:val="23"/>
          <w:szCs w:val="23"/>
        </w:rPr>
        <w:t xml:space="preserve">法定代表人或其委托代理人：（签字） </w:t>
      </w:r>
    </w:p>
    <w:p>
      <w:pPr>
        <w:spacing w:line="360" w:lineRule="auto"/>
        <w:rPr>
          <w:sz w:val="23"/>
          <w:szCs w:val="23"/>
          <w:u w:val="single"/>
        </w:rPr>
      </w:pPr>
      <w:r>
        <w:rPr>
          <w:rFonts w:hint="eastAsia"/>
          <w:sz w:val="23"/>
          <w:szCs w:val="23"/>
        </w:rPr>
        <w:t>日期：</w:t>
      </w:r>
      <w:r>
        <w:rPr>
          <w:rFonts w:hint="eastAsia"/>
          <w:sz w:val="23"/>
          <w:szCs w:val="23"/>
          <w:u w:val="single"/>
        </w:rPr>
        <w:t xml:space="preserve">     年   月    日</w:t>
      </w:r>
    </w:p>
    <w:p>
      <w:pPr>
        <w:spacing w:line="360" w:lineRule="auto"/>
        <w:sectPr>
          <w:pgSz w:w="11910" w:h="16840"/>
          <w:pgMar w:top="1361" w:right="1474" w:bottom="1361" w:left="1474" w:header="720" w:footer="720" w:gutter="0"/>
          <w:cols w:space="720" w:num="1"/>
        </w:sectPr>
      </w:pPr>
    </w:p>
    <w:p>
      <w:pPr>
        <w:tabs>
          <w:tab w:val="left" w:pos="4965"/>
        </w:tabs>
        <w:jc w:val="center"/>
        <w:rPr>
          <w:rFonts w:ascii="Times New Roman" w:hAnsi="Times New Roman" w:eastAsia="黑体"/>
          <w:kern w:val="2"/>
          <w:sz w:val="28"/>
          <w:szCs w:val="20"/>
          <w:lang w:val="en-US" w:bidi="ar-SA"/>
        </w:rPr>
      </w:pPr>
      <w:r>
        <w:rPr>
          <w:rFonts w:ascii="Times New Roman" w:hAnsi="Times New Roman" w:eastAsia="黑体"/>
          <w:kern w:val="2"/>
          <w:sz w:val="28"/>
          <w:szCs w:val="20"/>
          <w:lang w:val="en-US" w:bidi="ar-SA"/>
        </w:rPr>
        <w:t>二、</w:t>
      </w:r>
      <w:r>
        <w:rPr>
          <w:rFonts w:hint="eastAsia" w:ascii="Times New Roman" w:hAnsi="Times New Roman" w:eastAsia="黑体"/>
          <w:kern w:val="2"/>
          <w:sz w:val="28"/>
          <w:szCs w:val="20"/>
          <w:lang w:val="en-US" w:bidi="ar-SA"/>
        </w:rPr>
        <w:t>授权委托书或</w:t>
      </w:r>
      <w:r>
        <w:rPr>
          <w:rFonts w:ascii="Times New Roman" w:hAnsi="Times New Roman" w:eastAsia="黑体"/>
          <w:kern w:val="2"/>
          <w:sz w:val="28"/>
          <w:szCs w:val="20"/>
          <w:lang w:val="en-US" w:bidi="ar-SA"/>
        </w:rPr>
        <w:t>法定代表人身份证明</w:t>
      </w:r>
    </w:p>
    <w:p>
      <w:pPr>
        <w:autoSpaceDE/>
        <w:autoSpaceDN/>
        <w:spacing w:beforeLines="50" w:afterLines="50" w:line="440" w:lineRule="exact"/>
        <w:jc w:val="center"/>
        <w:rPr>
          <w:rFonts w:ascii="Times New Roman" w:hAnsi="Times New Roman" w:cs="Times New Roman"/>
          <w:kern w:val="2"/>
          <w:sz w:val="28"/>
          <w:szCs w:val="28"/>
          <w:lang w:val="en-US" w:bidi="ar-SA"/>
        </w:rPr>
      </w:pPr>
      <w:r>
        <w:rPr>
          <w:rFonts w:hint="eastAsia" w:ascii="Times New Roman" w:hAnsi="Times New Roman" w:cs="Times New Roman"/>
          <w:kern w:val="2"/>
          <w:sz w:val="28"/>
          <w:szCs w:val="28"/>
          <w:lang w:val="en-US" w:bidi="ar-SA"/>
        </w:rPr>
        <w:t>（一）</w:t>
      </w:r>
      <w:r>
        <w:rPr>
          <w:rFonts w:ascii="Times New Roman" w:hAnsi="Times New Roman" w:cs="Times New Roman"/>
          <w:kern w:val="2"/>
          <w:sz w:val="28"/>
          <w:szCs w:val="28"/>
          <w:lang w:val="en-US" w:bidi="ar-SA"/>
        </w:rPr>
        <w:t>授权委托书</w:t>
      </w:r>
    </w:p>
    <w:p>
      <w:pPr>
        <w:topLinePunct/>
        <w:autoSpaceDE/>
        <w:autoSpaceDN/>
        <w:spacing w:beforeLines="50" w:line="400" w:lineRule="exact"/>
        <w:ind w:firstLine="561"/>
        <w:jc w:val="both"/>
        <w:rPr>
          <w:rFonts w:ascii="Times New Roman" w:hAnsi="Times New Roman" w:cs="Times New Roman"/>
          <w:kern w:val="2"/>
          <w:sz w:val="21"/>
          <w:szCs w:val="21"/>
          <w:lang w:val="en-US" w:bidi="ar-SA"/>
        </w:rPr>
      </w:pPr>
      <w:r>
        <w:rPr>
          <w:rFonts w:ascii="Times New Roman" w:cs="Times New Roman"/>
          <w:kern w:val="2"/>
          <w:sz w:val="21"/>
          <w:szCs w:val="21"/>
          <w:lang w:val="en-US" w:bidi="ar-SA"/>
        </w:rPr>
        <w:t>本人</w:t>
      </w:r>
      <w:r>
        <w:rPr>
          <w:rFonts w:hint="eastAsia" w:ascii="Times New Roman" w:hAnsi="Times New Roman" w:cs="Times New Roman"/>
          <w:kern w:val="2"/>
          <w:sz w:val="21"/>
          <w:szCs w:val="21"/>
          <w:u w:val="single"/>
          <w:lang w:val="en-US" w:bidi="ar-SA"/>
        </w:rPr>
        <w:t>（</w:t>
      </w:r>
      <w:r>
        <w:rPr>
          <w:rFonts w:ascii="Times New Roman" w:cs="Times New Roman"/>
          <w:kern w:val="2"/>
          <w:sz w:val="21"/>
          <w:szCs w:val="21"/>
          <w:u w:val="single"/>
          <w:lang w:val="en-US" w:bidi="ar-SA"/>
        </w:rPr>
        <w:t>姓名</w:t>
      </w:r>
      <w:r>
        <w:rPr>
          <w:rFonts w:hint="eastAsia" w:ascii="Times New Roman" w:cs="Times New Roman"/>
          <w:kern w:val="2"/>
          <w:sz w:val="21"/>
          <w:szCs w:val="21"/>
          <w:u w:val="single"/>
          <w:lang w:val="en-US" w:bidi="ar-SA"/>
        </w:rPr>
        <w:t>）</w:t>
      </w:r>
      <w:r>
        <w:rPr>
          <w:rFonts w:ascii="Times New Roman" w:cs="Times New Roman"/>
          <w:kern w:val="2"/>
          <w:sz w:val="21"/>
          <w:szCs w:val="21"/>
          <w:lang w:val="en-US" w:bidi="ar-SA"/>
        </w:rPr>
        <w:t>系</w:t>
      </w:r>
      <w:r>
        <w:rPr>
          <w:rFonts w:hint="eastAsia" w:ascii="Times New Roman" w:cs="Times New Roman"/>
          <w:kern w:val="2"/>
          <w:sz w:val="21"/>
          <w:szCs w:val="21"/>
          <w:u w:val="single"/>
          <w:lang w:val="en-US" w:bidi="ar-SA"/>
        </w:rPr>
        <w:t>（</w:t>
      </w:r>
      <w:r>
        <w:rPr>
          <w:rFonts w:ascii="Times New Roman" w:cs="Times New Roman"/>
          <w:kern w:val="2"/>
          <w:sz w:val="21"/>
          <w:szCs w:val="21"/>
          <w:u w:val="single"/>
          <w:lang w:val="en-US" w:bidi="ar-SA"/>
        </w:rPr>
        <w:t>投标人名称</w:t>
      </w:r>
      <w:r>
        <w:rPr>
          <w:rFonts w:hint="eastAsia" w:ascii="Times New Roman" w:cs="Times New Roman"/>
          <w:kern w:val="2"/>
          <w:sz w:val="21"/>
          <w:szCs w:val="21"/>
          <w:u w:val="single"/>
          <w:lang w:val="en-US" w:bidi="ar-SA"/>
        </w:rPr>
        <w:t>）</w:t>
      </w:r>
      <w:r>
        <w:rPr>
          <w:rFonts w:ascii="Times New Roman" w:cs="Times New Roman"/>
          <w:kern w:val="2"/>
          <w:sz w:val="21"/>
          <w:szCs w:val="21"/>
          <w:lang w:val="en-US" w:bidi="ar-SA"/>
        </w:rPr>
        <w:t>的法定代表人，现委托</w:t>
      </w:r>
      <w:r>
        <w:rPr>
          <w:rFonts w:hint="eastAsia" w:ascii="Times New Roman" w:hAnsi="Times New Roman" w:cs="Times New Roman"/>
          <w:kern w:val="2"/>
          <w:sz w:val="21"/>
          <w:szCs w:val="21"/>
          <w:u w:val="single"/>
          <w:lang w:val="en-US" w:bidi="ar-SA"/>
        </w:rPr>
        <w:t>（</w:t>
      </w:r>
      <w:r>
        <w:rPr>
          <w:rFonts w:ascii="Times New Roman" w:cs="Times New Roman"/>
          <w:kern w:val="2"/>
          <w:sz w:val="21"/>
          <w:szCs w:val="21"/>
          <w:u w:val="single"/>
          <w:lang w:val="en-US" w:bidi="ar-SA"/>
        </w:rPr>
        <w:t>姓名</w:t>
      </w:r>
      <w:r>
        <w:rPr>
          <w:rFonts w:hint="eastAsia" w:ascii="Times New Roman" w:cs="Times New Roman"/>
          <w:kern w:val="2"/>
          <w:sz w:val="21"/>
          <w:szCs w:val="21"/>
          <w:u w:val="single"/>
          <w:lang w:val="en-US" w:bidi="ar-SA"/>
        </w:rPr>
        <w:t>）</w:t>
      </w:r>
      <w:r>
        <w:rPr>
          <w:rFonts w:ascii="Times New Roman" w:cs="Times New Roman"/>
          <w:kern w:val="2"/>
          <w:sz w:val="21"/>
          <w:szCs w:val="21"/>
          <w:lang w:val="en-US" w:bidi="ar-SA"/>
        </w:rPr>
        <w:t>为我方代理人。代理人根据授权，以我方名义签署、澄清</w:t>
      </w:r>
      <w:r>
        <w:rPr>
          <w:rFonts w:hint="eastAsia" w:ascii="Times New Roman" w:cs="Times New Roman"/>
          <w:kern w:val="2"/>
          <w:sz w:val="21"/>
          <w:szCs w:val="21"/>
          <w:lang w:val="en-US" w:bidi="ar-SA"/>
        </w:rPr>
        <w:t>确认</w:t>
      </w:r>
      <w:r>
        <w:rPr>
          <w:rFonts w:ascii="Times New Roman" w:cs="Times New Roman"/>
          <w:kern w:val="2"/>
          <w:sz w:val="21"/>
          <w:szCs w:val="21"/>
          <w:lang w:val="en-US" w:bidi="ar-SA"/>
        </w:rPr>
        <w:t>、递交、撤回、修改</w:t>
      </w:r>
      <w:r>
        <w:rPr>
          <w:rFonts w:hint="eastAsia" w:ascii="Times New Roman" w:cs="Times New Roman"/>
          <w:kern w:val="2"/>
          <w:sz w:val="21"/>
          <w:szCs w:val="21"/>
          <w:u w:val="single"/>
          <w:lang w:val="en-US" w:bidi="ar-SA"/>
        </w:rPr>
        <w:t>（项目名称）</w:t>
      </w:r>
      <w:r>
        <w:rPr>
          <w:rFonts w:hint="eastAsia" w:ascii="Times New Roman" w:cs="Times New Roman"/>
          <w:kern w:val="2"/>
          <w:sz w:val="21"/>
          <w:szCs w:val="21"/>
          <w:lang w:val="en-US" w:bidi="ar-SA"/>
        </w:rPr>
        <w:t>标段</w:t>
      </w:r>
      <w:r>
        <w:rPr>
          <w:rFonts w:ascii="Times New Roman" w:cs="Times New Roman"/>
          <w:kern w:val="2"/>
          <w:sz w:val="21"/>
          <w:szCs w:val="21"/>
          <w:lang w:val="en-US" w:bidi="ar-SA"/>
        </w:rPr>
        <w:t>投标文件、签订合同和处理有关事宜，其法律后果由我方承担。</w:t>
      </w:r>
    </w:p>
    <w:p>
      <w:pPr>
        <w:topLinePunct/>
        <w:autoSpaceDE/>
        <w:autoSpaceDN/>
        <w:spacing w:line="400" w:lineRule="exact"/>
        <w:jc w:val="both"/>
        <w:rPr>
          <w:rFonts w:ascii="Times New Roman" w:hAnsi="Times New Roman" w:cs="Times New Roman"/>
          <w:kern w:val="2"/>
          <w:sz w:val="21"/>
          <w:szCs w:val="21"/>
          <w:lang w:val="en-US" w:bidi="ar-SA"/>
        </w:rPr>
      </w:pPr>
    </w:p>
    <w:p>
      <w:pPr>
        <w:topLinePunct/>
        <w:autoSpaceDE/>
        <w:autoSpaceDN/>
        <w:spacing w:line="400" w:lineRule="exact"/>
        <w:ind w:firstLine="420" w:firstLineChars="200"/>
        <w:jc w:val="both"/>
        <w:rPr>
          <w:rFonts w:ascii="Times New Roman" w:hAnsi="Times New Roman" w:cs="Times New Roman"/>
          <w:kern w:val="2"/>
          <w:sz w:val="21"/>
          <w:szCs w:val="21"/>
          <w:u w:val="single"/>
          <w:lang w:val="en-US" w:bidi="ar-SA"/>
        </w:rPr>
      </w:pPr>
      <w:r>
        <w:rPr>
          <w:rFonts w:ascii="Times New Roman" w:cs="Times New Roman"/>
          <w:kern w:val="2"/>
          <w:sz w:val="21"/>
          <w:szCs w:val="21"/>
          <w:lang w:val="en-US" w:bidi="ar-SA"/>
        </w:rPr>
        <w:t>委托期限：</w:t>
      </w:r>
      <w:r>
        <w:rPr>
          <w:rFonts w:hint="eastAsia" w:ascii="Times New Roman" w:cs="Times New Roman"/>
          <w:kern w:val="2"/>
          <w:sz w:val="21"/>
          <w:szCs w:val="21"/>
          <w:lang w:val="en-US" w:bidi="ar-SA"/>
        </w:rPr>
        <w:t>自本委托书签署之日起至投标有效期期满。</w:t>
      </w:r>
    </w:p>
    <w:p>
      <w:pPr>
        <w:topLinePunct/>
        <w:autoSpaceDE/>
        <w:autoSpaceDN/>
        <w:spacing w:line="400" w:lineRule="exact"/>
        <w:ind w:firstLine="420" w:firstLineChars="200"/>
        <w:jc w:val="both"/>
        <w:rPr>
          <w:rFonts w:ascii="Times New Roman" w:hAnsi="Times New Roman" w:cs="Times New Roman"/>
          <w:kern w:val="2"/>
          <w:sz w:val="21"/>
          <w:szCs w:val="21"/>
          <w:lang w:val="en-US" w:bidi="ar-SA"/>
        </w:rPr>
      </w:pPr>
      <w:r>
        <w:rPr>
          <w:rFonts w:ascii="Times New Roman" w:cs="Times New Roman"/>
          <w:kern w:val="2"/>
          <w:sz w:val="21"/>
          <w:szCs w:val="21"/>
          <w:lang w:val="en-US" w:bidi="ar-SA"/>
        </w:rPr>
        <w:t>代理人无转委托权。</w:t>
      </w:r>
    </w:p>
    <w:p>
      <w:pPr>
        <w:topLinePunct/>
        <w:autoSpaceDE/>
        <w:autoSpaceDN/>
        <w:spacing w:line="400" w:lineRule="exact"/>
        <w:jc w:val="both"/>
        <w:rPr>
          <w:rFonts w:ascii="Times New Roman" w:hAnsi="Times New Roman" w:cs="Times New Roman"/>
          <w:kern w:val="2"/>
          <w:sz w:val="21"/>
          <w:szCs w:val="21"/>
          <w:lang w:val="en-US" w:bidi="ar-SA"/>
        </w:rPr>
      </w:pPr>
    </w:p>
    <w:p>
      <w:pPr>
        <w:topLinePunct/>
        <w:autoSpaceDE/>
        <w:autoSpaceDN/>
        <w:spacing w:line="400" w:lineRule="exact"/>
        <w:ind w:firstLine="422" w:firstLineChars="200"/>
        <w:jc w:val="both"/>
        <w:rPr>
          <w:rFonts w:ascii="Times New Roman" w:cs="Times New Roman"/>
          <w:kern w:val="2"/>
          <w:sz w:val="21"/>
          <w:szCs w:val="21"/>
          <w:lang w:val="en-US" w:bidi="ar-SA"/>
        </w:rPr>
      </w:pPr>
      <w:r>
        <w:rPr>
          <w:rFonts w:ascii="Times New Roman" w:cs="Times New Roman"/>
          <w:b/>
          <w:kern w:val="2"/>
          <w:sz w:val="21"/>
          <w:szCs w:val="21"/>
          <w:lang w:val="en-US" w:bidi="ar-SA"/>
        </w:rPr>
        <w:t>附：</w:t>
      </w:r>
      <w:r>
        <w:rPr>
          <w:rFonts w:hint="eastAsia" w:ascii="Times New Roman" w:hAnsi="Times New Roman" w:cs="Times New Roman"/>
          <w:b/>
          <w:kern w:val="2"/>
          <w:sz w:val="21"/>
          <w:szCs w:val="21"/>
          <w:lang w:val="en-US" w:bidi="ar-SA"/>
        </w:rPr>
        <w:t>法定代表人身份证彩色复印件或彩色扫描件及委托代理人身份证彩色复印件或彩色扫描件。</w:t>
      </w:r>
    </w:p>
    <w:p>
      <w:pPr>
        <w:topLinePunct/>
        <w:autoSpaceDE/>
        <w:autoSpaceDN/>
        <w:spacing w:line="400" w:lineRule="exact"/>
        <w:ind w:firstLine="420" w:firstLineChars="200"/>
        <w:jc w:val="both"/>
        <w:rPr>
          <w:rFonts w:ascii="Times New Roman" w:cs="Times New Roman"/>
          <w:kern w:val="2"/>
          <w:sz w:val="21"/>
          <w:szCs w:val="21"/>
          <w:lang w:val="en-US" w:bidi="ar-SA"/>
        </w:rPr>
      </w:pPr>
    </w:p>
    <w:p>
      <w:pPr>
        <w:topLinePunct/>
        <w:autoSpaceDE/>
        <w:autoSpaceDN/>
        <w:jc w:val="both"/>
        <w:rPr>
          <w:rFonts w:ascii="Times New Roman" w:cs="Times New Roman"/>
          <w:kern w:val="2"/>
          <w:sz w:val="21"/>
          <w:szCs w:val="21"/>
          <w:lang w:val="en-US" w:bidi="ar-SA"/>
        </w:rPr>
      </w:pPr>
    </w:p>
    <w:p>
      <w:pPr>
        <w:topLinePunct/>
        <w:autoSpaceDE/>
        <w:autoSpaceDN/>
        <w:jc w:val="both"/>
        <w:rPr>
          <w:rFonts w:ascii="Times New Roman" w:cs="Times New Roman"/>
          <w:kern w:val="2"/>
          <w:sz w:val="21"/>
          <w:szCs w:val="21"/>
          <w:lang w:val="en-US" w:bidi="ar-SA"/>
        </w:rPr>
      </w:pPr>
    </w:p>
    <w:p>
      <w:pPr>
        <w:topLinePunct/>
        <w:autoSpaceDE/>
        <w:autoSpaceDN/>
        <w:jc w:val="both"/>
        <w:rPr>
          <w:rFonts w:ascii="Times New Roman" w:cs="Times New Roman"/>
          <w:kern w:val="2"/>
          <w:sz w:val="21"/>
          <w:szCs w:val="21"/>
          <w:lang w:val="en-US" w:bidi="ar-SA"/>
        </w:rPr>
      </w:pPr>
    </w:p>
    <w:p>
      <w:pPr>
        <w:topLinePunct/>
        <w:autoSpaceDE/>
        <w:autoSpaceDN/>
        <w:jc w:val="both"/>
        <w:rPr>
          <w:rFonts w:ascii="Times New Roman" w:cs="Times New Roman"/>
          <w:kern w:val="2"/>
          <w:sz w:val="21"/>
          <w:szCs w:val="21"/>
          <w:lang w:val="en-US" w:bidi="ar-SA"/>
        </w:rPr>
      </w:pPr>
    </w:p>
    <w:p>
      <w:pPr>
        <w:topLinePunct/>
        <w:autoSpaceDE/>
        <w:autoSpaceDN/>
        <w:jc w:val="both"/>
        <w:rPr>
          <w:rFonts w:ascii="Times New Roman" w:cs="Times New Roman"/>
          <w:kern w:val="2"/>
          <w:sz w:val="21"/>
          <w:szCs w:val="21"/>
          <w:lang w:val="en-US" w:bidi="ar-SA"/>
        </w:rPr>
      </w:pPr>
    </w:p>
    <w:p>
      <w:pPr>
        <w:topLinePunct/>
        <w:autoSpaceDE/>
        <w:autoSpaceDN/>
        <w:jc w:val="both"/>
        <w:rPr>
          <w:rFonts w:ascii="Times New Roman" w:cs="Times New Roman"/>
          <w:kern w:val="2"/>
          <w:sz w:val="21"/>
          <w:szCs w:val="21"/>
          <w:lang w:val="en-US" w:bidi="ar-SA"/>
        </w:rPr>
      </w:pPr>
    </w:p>
    <w:p>
      <w:pPr>
        <w:topLinePunct/>
        <w:autoSpaceDE/>
        <w:autoSpaceDN/>
        <w:jc w:val="both"/>
        <w:rPr>
          <w:rFonts w:ascii="Times New Roman" w:cs="Times New Roman"/>
          <w:kern w:val="2"/>
          <w:sz w:val="21"/>
          <w:szCs w:val="21"/>
          <w:lang w:val="en-US" w:bidi="ar-SA"/>
        </w:rPr>
      </w:pPr>
    </w:p>
    <w:p>
      <w:pPr>
        <w:topLinePunct/>
        <w:autoSpaceDE/>
        <w:autoSpaceDN/>
        <w:jc w:val="both"/>
        <w:rPr>
          <w:rFonts w:ascii="Times New Roman" w:cs="Times New Roman"/>
          <w:kern w:val="2"/>
          <w:sz w:val="21"/>
          <w:szCs w:val="21"/>
          <w:lang w:val="en-US" w:bidi="ar-SA"/>
        </w:rPr>
      </w:pPr>
    </w:p>
    <w:p>
      <w:pPr>
        <w:topLinePunct/>
        <w:autoSpaceDE/>
        <w:autoSpaceDN/>
        <w:ind w:firstLine="3675" w:firstLineChars="1750"/>
        <w:jc w:val="both"/>
        <w:rPr>
          <w:rFonts w:ascii="Times New Roman" w:hAnsi="Times New Roman" w:cs="Times New Roman"/>
          <w:kern w:val="2"/>
          <w:sz w:val="21"/>
          <w:szCs w:val="21"/>
          <w:lang w:val="en-US" w:bidi="ar-SA"/>
        </w:rPr>
      </w:pPr>
      <w:r>
        <w:rPr>
          <w:rFonts w:ascii="Times New Roman" w:cs="Times New Roman"/>
          <w:kern w:val="2"/>
          <w:sz w:val="21"/>
          <w:szCs w:val="21"/>
          <w:lang w:val="en-US" w:bidi="ar-SA"/>
        </w:rPr>
        <w:t>投标人：</w:t>
      </w:r>
      <w:r>
        <w:rPr>
          <w:rFonts w:hint="eastAsia" w:ascii="Times New Roman" w:cs="Times New Roman"/>
          <w:kern w:val="2"/>
          <w:sz w:val="21"/>
          <w:szCs w:val="21"/>
          <w:lang w:val="en-US" w:bidi="ar-SA"/>
        </w:rPr>
        <w:t>（</w:t>
      </w:r>
      <w:r>
        <w:rPr>
          <w:rFonts w:ascii="Times New Roman" w:cs="Times New Roman"/>
          <w:kern w:val="2"/>
          <w:sz w:val="21"/>
          <w:szCs w:val="21"/>
          <w:lang w:val="en-US" w:bidi="ar-SA"/>
        </w:rPr>
        <w:t>盖单位章</w:t>
      </w:r>
      <w:r>
        <w:rPr>
          <w:rFonts w:hint="eastAsia" w:ascii="Times New Roman" w:cs="Times New Roman"/>
          <w:kern w:val="2"/>
          <w:sz w:val="21"/>
          <w:szCs w:val="21"/>
          <w:lang w:val="en-US" w:bidi="ar-SA"/>
        </w:rPr>
        <w:t>）</w:t>
      </w:r>
    </w:p>
    <w:p>
      <w:pPr>
        <w:topLinePunct/>
        <w:autoSpaceDE/>
        <w:autoSpaceDN/>
        <w:jc w:val="both"/>
        <w:rPr>
          <w:rFonts w:ascii="Times New Roman" w:cs="Times New Roman"/>
          <w:kern w:val="2"/>
          <w:sz w:val="21"/>
          <w:szCs w:val="21"/>
          <w:lang w:val="en-US" w:bidi="ar-SA"/>
        </w:rPr>
      </w:pPr>
    </w:p>
    <w:p>
      <w:pPr>
        <w:wordWrap w:val="0"/>
        <w:topLinePunct/>
        <w:autoSpaceDE/>
        <w:autoSpaceDN/>
        <w:ind w:firstLine="3675" w:firstLineChars="1750"/>
        <w:jc w:val="both"/>
        <w:rPr>
          <w:rFonts w:ascii="Times New Roman" w:hAnsi="Times New Roman" w:cs="Times New Roman"/>
          <w:kern w:val="2"/>
          <w:sz w:val="21"/>
          <w:szCs w:val="21"/>
          <w:lang w:val="en-US" w:bidi="ar-SA"/>
        </w:rPr>
      </w:pPr>
      <w:r>
        <w:rPr>
          <w:rFonts w:ascii="Times New Roman" w:cs="Times New Roman"/>
          <w:kern w:val="2"/>
          <w:sz w:val="21"/>
          <w:szCs w:val="21"/>
          <w:lang w:val="en-US" w:bidi="ar-SA"/>
        </w:rPr>
        <w:t>法定代表人：</w:t>
      </w:r>
      <w:r>
        <w:rPr>
          <w:rFonts w:hint="eastAsia" w:ascii="Times New Roman" w:cs="Times New Roman"/>
          <w:kern w:val="2"/>
          <w:sz w:val="21"/>
          <w:szCs w:val="21"/>
          <w:lang w:val="en-US" w:bidi="ar-SA"/>
        </w:rPr>
        <w:t>（签字）</w:t>
      </w:r>
    </w:p>
    <w:p>
      <w:pPr>
        <w:topLinePunct/>
        <w:autoSpaceDE/>
        <w:autoSpaceDN/>
        <w:jc w:val="both"/>
        <w:rPr>
          <w:rFonts w:ascii="Times New Roman" w:cs="Times New Roman"/>
          <w:kern w:val="2"/>
          <w:sz w:val="21"/>
          <w:szCs w:val="21"/>
          <w:lang w:val="en-US" w:bidi="ar-SA"/>
        </w:rPr>
      </w:pPr>
    </w:p>
    <w:p>
      <w:pPr>
        <w:wordWrap w:val="0"/>
        <w:topLinePunct/>
        <w:autoSpaceDE/>
        <w:autoSpaceDN/>
        <w:ind w:firstLine="3675" w:firstLineChars="1750"/>
        <w:jc w:val="both"/>
        <w:rPr>
          <w:rFonts w:ascii="Times New Roman" w:hAnsi="Times New Roman" w:cs="Times New Roman"/>
          <w:kern w:val="2"/>
          <w:sz w:val="21"/>
          <w:szCs w:val="21"/>
          <w:u w:val="single"/>
          <w:lang w:val="en-US" w:bidi="ar-SA"/>
        </w:rPr>
      </w:pPr>
      <w:r>
        <w:rPr>
          <w:rFonts w:ascii="Times New Roman" w:cs="Times New Roman"/>
          <w:kern w:val="2"/>
          <w:sz w:val="21"/>
          <w:szCs w:val="21"/>
          <w:lang w:val="en-US" w:bidi="ar-SA"/>
        </w:rPr>
        <w:t>身份证号码：</w:t>
      </w:r>
    </w:p>
    <w:p>
      <w:pPr>
        <w:topLinePunct/>
        <w:autoSpaceDE/>
        <w:autoSpaceDN/>
        <w:jc w:val="both"/>
        <w:rPr>
          <w:rFonts w:ascii="Times New Roman" w:cs="Times New Roman"/>
          <w:kern w:val="2"/>
          <w:sz w:val="21"/>
          <w:szCs w:val="21"/>
          <w:lang w:val="en-US" w:bidi="ar-SA"/>
        </w:rPr>
      </w:pPr>
    </w:p>
    <w:p>
      <w:pPr>
        <w:wordWrap w:val="0"/>
        <w:topLinePunct/>
        <w:autoSpaceDE/>
        <w:autoSpaceDN/>
        <w:ind w:firstLine="3675" w:firstLineChars="1750"/>
        <w:jc w:val="both"/>
        <w:rPr>
          <w:rFonts w:ascii="Times New Roman" w:hAnsi="Times New Roman" w:cs="Times New Roman"/>
          <w:kern w:val="2"/>
          <w:sz w:val="21"/>
          <w:szCs w:val="21"/>
          <w:lang w:val="en-US" w:bidi="ar-SA"/>
        </w:rPr>
      </w:pPr>
      <w:r>
        <w:rPr>
          <w:rFonts w:hint="eastAsia" w:ascii="Times New Roman" w:cs="Times New Roman"/>
          <w:kern w:val="2"/>
          <w:sz w:val="21"/>
          <w:szCs w:val="21"/>
          <w:lang w:val="en-US" w:bidi="ar-SA"/>
        </w:rPr>
        <w:t>委托代理</w:t>
      </w:r>
      <w:r>
        <w:rPr>
          <w:rFonts w:ascii="Times New Roman" w:cs="Times New Roman"/>
          <w:kern w:val="2"/>
          <w:sz w:val="21"/>
          <w:szCs w:val="21"/>
          <w:lang w:val="en-US" w:bidi="ar-SA"/>
        </w:rPr>
        <w:t>人：</w:t>
      </w:r>
      <w:r>
        <w:rPr>
          <w:rFonts w:hint="eastAsia" w:ascii="Times New Roman" w:cs="Times New Roman"/>
          <w:kern w:val="2"/>
          <w:sz w:val="21"/>
          <w:szCs w:val="21"/>
          <w:lang w:val="en-US" w:bidi="ar-SA"/>
        </w:rPr>
        <w:t xml:space="preserve"> (签字)</w:t>
      </w:r>
    </w:p>
    <w:p>
      <w:pPr>
        <w:topLinePunct/>
        <w:autoSpaceDE/>
        <w:autoSpaceDN/>
        <w:jc w:val="both"/>
        <w:rPr>
          <w:rFonts w:ascii="Times New Roman" w:cs="Times New Roman"/>
          <w:kern w:val="2"/>
          <w:sz w:val="21"/>
          <w:szCs w:val="21"/>
          <w:lang w:val="en-US" w:bidi="ar-SA"/>
        </w:rPr>
      </w:pPr>
    </w:p>
    <w:p>
      <w:pPr>
        <w:wordWrap w:val="0"/>
        <w:topLinePunct/>
        <w:autoSpaceDE/>
        <w:autoSpaceDN/>
        <w:ind w:firstLine="3675" w:firstLineChars="1750"/>
        <w:jc w:val="both"/>
        <w:rPr>
          <w:rFonts w:ascii="Times New Roman" w:hAnsi="Times New Roman" w:cs="Times New Roman"/>
          <w:kern w:val="2"/>
          <w:sz w:val="21"/>
          <w:szCs w:val="21"/>
          <w:u w:val="single"/>
          <w:lang w:val="en-US" w:bidi="ar-SA"/>
        </w:rPr>
      </w:pPr>
      <w:r>
        <w:rPr>
          <w:rFonts w:ascii="Times New Roman" w:cs="Times New Roman"/>
          <w:kern w:val="2"/>
          <w:sz w:val="21"/>
          <w:szCs w:val="21"/>
          <w:lang w:val="en-US" w:bidi="ar-SA"/>
        </w:rPr>
        <w:t>身份证号码：</w:t>
      </w:r>
    </w:p>
    <w:p>
      <w:pPr>
        <w:topLinePunct/>
        <w:autoSpaceDE/>
        <w:autoSpaceDN/>
        <w:jc w:val="both"/>
        <w:rPr>
          <w:rFonts w:ascii="Times New Roman" w:hAnsi="Times New Roman" w:cs="Times New Roman"/>
          <w:kern w:val="2"/>
          <w:sz w:val="21"/>
          <w:szCs w:val="21"/>
          <w:lang w:val="en-US" w:bidi="ar-SA"/>
        </w:rPr>
      </w:pPr>
    </w:p>
    <w:p>
      <w:pPr>
        <w:topLinePunct/>
        <w:autoSpaceDE/>
        <w:autoSpaceDN/>
        <w:spacing w:beforeLines="50" w:afterLines="50"/>
        <w:ind w:firstLine="7770" w:firstLineChars="3700"/>
        <w:jc w:val="both"/>
        <w:rPr>
          <w:rFonts w:ascii="Times New Roman" w:cs="Times New Roman"/>
          <w:bCs/>
          <w:kern w:val="2"/>
          <w:sz w:val="21"/>
          <w:szCs w:val="21"/>
          <w:lang w:val="en-US" w:bidi="ar-SA"/>
        </w:rPr>
      </w:pPr>
      <w:r>
        <w:rPr>
          <w:rFonts w:ascii="Times New Roman" w:cs="Times New Roman"/>
          <w:bCs/>
          <w:kern w:val="2"/>
          <w:sz w:val="21"/>
          <w:szCs w:val="21"/>
          <w:lang w:val="en-US" w:bidi="ar-SA"/>
        </w:rPr>
        <w:t>年月日</w:t>
      </w:r>
    </w:p>
    <w:p>
      <w:pPr>
        <w:topLinePunct/>
        <w:autoSpaceDE/>
        <w:autoSpaceDN/>
        <w:spacing w:beforeLines="50" w:afterLines="50"/>
        <w:jc w:val="center"/>
        <w:rPr>
          <w:rFonts w:ascii="Times New Roman" w:cs="Times New Roman"/>
          <w:bCs/>
          <w:kern w:val="2"/>
          <w:sz w:val="21"/>
          <w:szCs w:val="21"/>
          <w:lang w:val="en-US" w:bidi="ar-SA"/>
        </w:rPr>
      </w:pPr>
    </w:p>
    <w:p>
      <w:pPr>
        <w:topLinePunct/>
        <w:autoSpaceDE/>
        <w:autoSpaceDN/>
        <w:spacing w:beforeLines="50" w:afterLines="50"/>
        <w:jc w:val="center"/>
        <w:rPr>
          <w:rFonts w:ascii="Times New Roman" w:cs="Times New Roman"/>
          <w:bCs/>
          <w:kern w:val="2"/>
          <w:sz w:val="21"/>
          <w:szCs w:val="21"/>
          <w:lang w:val="en-US" w:bidi="ar-SA"/>
        </w:rPr>
      </w:pPr>
    </w:p>
    <w:p>
      <w:pPr>
        <w:autoSpaceDE/>
        <w:autoSpaceDN/>
        <w:spacing w:line="400" w:lineRule="exact"/>
        <w:jc w:val="both"/>
        <w:rPr>
          <w:rFonts w:ascii="Times New Roman" w:hAnsi="Times New Roman" w:eastAsia="黑体" w:cs="Times New Roman"/>
          <w:kern w:val="2"/>
          <w:sz w:val="20"/>
          <w:szCs w:val="24"/>
          <w:lang w:val="en-US" w:bidi="ar-SA"/>
        </w:rPr>
      </w:pPr>
    </w:p>
    <w:p>
      <w:pPr>
        <w:autoSpaceDE/>
        <w:autoSpaceDN/>
        <w:spacing w:line="400" w:lineRule="exact"/>
        <w:jc w:val="both"/>
        <w:rPr>
          <w:rFonts w:ascii="Times New Roman" w:hAnsi="Times New Roman" w:eastAsia="黑体" w:cs="Times New Roman"/>
          <w:kern w:val="2"/>
          <w:sz w:val="20"/>
          <w:szCs w:val="24"/>
          <w:lang w:val="en-US" w:bidi="ar-SA"/>
        </w:rPr>
      </w:pPr>
    </w:p>
    <w:p>
      <w:pPr>
        <w:topLinePunct/>
        <w:autoSpaceDE/>
        <w:autoSpaceDN/>
        <w:spacing w:line="400" w:lineRule="exact"/>
        <w:ind w:firstLine="422" w:firstLineChars="200"/>
        <w:jc w:val="both"/>
        <w:rPr>
          <w:rFonts w:cs="Times New Roman"/>
          <w:b/>
          <w:kern w:val="2"/>
          <w:sz w:val="21"/>
          <w:szCs w:val="21"/>
          <w:lang w:val="en-US" w:bidi="ar-SA"/>
        </w:rPr>
      </w:pPr>
      <w:r>
        <w:rPr>
          <w:rFonts w:hint="eastAsia" w:cs="Times New Roman"/>
          <w:b/>
          <w:kern w:val="2"/>
          <w:sz w:val="21"/>
          <w:szCs w:val="21"/>
          <w:lang w:val="en-US" w:bidi="ar-SA"/>
        </w:rPr>
        <w:t>注： 1.法定代表人和委托代理人必须在授权委托书上亲笔签名，不得使用印章、签名章或其他电子制版签名代替；</w:t>
      </w:r>
    </w:p>
    <w:p>
      <w:pPr>
        <w:topLinePunct/>
        <w:autoSpaceDE/>
        <w:autoSpaceDN/>
        <w:spacing w:line="400" w:lineRule="exact"/>
        <w:ind w:firstLine="843" w:firstLineChars="400"/>
        <w:jc w:val="both"/>
        <w:rPr>
          <w:rFonts w:ascii="Times New Roman" w:hAnsi="Times New Roman" w:eastAsia="黑体" w:cs="Times New Roman"/>
          <w:b/>
          <w:bCs/>
          <w:kern w:val="2"/>
          <w:sz w:val="21"/>
          <w:szCs w:val="21"/>
          <w:lang w:val="en-US" w:bidi="ar-SA"/>
        </w:rPr>
      </w:pPr>
      <w:r>
        <w:rPr>
          <w:rFonts w:hint="eastAsia" w:cs="Times New Roman"/>
          <w:b/>
          <w:kern w:val="2"/>
          <w:sz w:val="21"/>
          <w:szCs w:val="21"/>
          <w:lang w:val="en-US" w:bidi="ar-SA"/>
        </w:rPr>
        <w:t>2.如果由投标人的法定代表人签署投标文件，则无须提交授权委托书。</w:t>
      </w:r>
    </w:p>
    <w:p>
      <w:pPr>
        <w:autoSpaceDE/>
        <w:autoSpaceDN/>
        <w:spacing w:line="440" w:lineRule="exact"/>
        <w:jc w:val="center"/>
        <w:rPr>
          <w:rFonts w:ascii="Times New Roman" w:hAnsi="Times New Roman" w:cs="Times New Roman"/>
          <w:kern w:val="2"/>
          <w:sz w:val="28"/>
          <w:szCs w:val="28"/>
          <w:lang w:val="en-US" w:bidi="ar-SA"/>
        </w:rPr>
      </w:pPr>
      <w:r>
        <w:rPr>
          <w:rFonts w:ascii="Times New Roman" w:hAnsi="Times New Roman" w:cs="Times New Roman"/>
          <w:kern w:val="2"/>
          <w:sz w:val="24"/>
          <w:szCs w:val="24"/>
          <w:lang w:val="en-US" w:bidi="ar-SA"/>
        </w:rPr>
        <w:br w:type="page"/>
      </w:r>
      <w:r>
        <w:rPr>
          <w:rFonts w:hint="eastAsia" w:ascii="Times New Roman" w:hAnsi="Times New Roman" w:cs="Times New Roman"/>
          <w:kern w:val="2"/>
          <w:sz w:val="28"/>
          <w:szCs w:val="28"/>
          <w:lang w:val="en-US" w:bidi="ar-SA"/>
        </w:rPr>
        <w:t>（二）法定代表人身份证明</w:t>
      </w:r>
    </w:p>
    <w:p>
      <w:pPr>
        <w:autoSpaceDE/>
        <w:autoSpaceDN/>
        <w:spacing w:line="440" w:lineRule="exact"/>
        <w:jc w:val="center"/>
        <w:rPr>
          <w:rFonts w:ascii="Times New Roman" w:hAnsi="Times New Roman" w:cs="Times New Roman"/>
          <w:kern w:val="2"/>
          <w:sz w:val="28"/>
          <w:szCs w:val="28"/>
          <w:lang w:val="en-US" w:bidi="ar-SA"/>
        </w:rPr>
      </w:pPr>
    </w:p>
    <w:p>
      <w:pPr>
        <w:topLinePunct/>
        <w:autoSpaceDE/>
        <w:autoSpaceDN/>
        <w:jc w:val="both"/>
        <w:rPr>
          <w:rFonts w:cs="Times New Roman"/>
          <w:bCs/>
          <w:kern w:val="2"/>
          <w:sz w:val="21"/>
          <w:szCs w:val="21"/>
          <w:u w:val="single"/>
          <w:lang w:val="en-US" w:bidi="ar-SA"/>
        </w:rPr>
      </w:pPr>
      <w:r>
        <w:rPr>
          <w:rFonts w:cs="Times New Roman"/>
          <w:bCs/>
          <w:kern w:val="2"/>
          <w:sz w:val="21"/>
          <w:szCs w:val="21"/>
          <w:lang w:val="en-US" w:bidi="ar-SA"/>
        </w:rPr>
        <w:t>投标人名称：</w:t>
      </w:r>
    </w:p>
    <w:p>
      <w:pPr>
        <w:topLinePunct/>
        <w:autoSpaceDE/>
        <w:autoSpaceDN/>
        <w:jc w:val="both"/>
        <w:rPr>
          <w:rFonts w:cs="Times New Roman"/>
          <w:bCs/>
          <w:kern w:val="2"/>
          <w:sz w:val="21"/>
          <w:szCs w:val="21"/>
          <w:lang w:val="en-US" w:bidi="ar-SA"/>
        </w:rPr>
      </w:pPr>
    </w:p>
    <w:p>
      <w:pPr>
        <w:topLinePunct/>
        <w:autoSpaceDE/>
        <w:autoSpaceDN/>
        <w:jc w:val="both"/>
        <w:rPr>
          <w:rFonts w:cs="Times New Roman"/>
          <w:bCs/>
          <w:kern w:val="2"/>
          <w:sz w:val="21"/>
          <w:szCs w:val="21"/>
          <w:u w:val="single"/>
          <w:lang w:val="en-US" w:bidi="ar-SA"/>
        </w:rPr>
      </w:pPr>
      <w:r>
        <w:rPr>
          <w:rFonts w:cs="Times New Roman"/>
          <w:bCs/>
          <w:kern w:val="2"/>
          <w:sz w:val="21"/>
          <w:szCs w:val="21"/>
          <w:lang w:val="en-US" w:bidi="ar-SA"/>
        </w:rPr>
        <w:t>姓名：性别：年龄：职务：</w:t>
      </w:r>
    </w:p>
    <w:p>
      <w:pPr>
        <w:topLinePunct/>
        <w:autoSpaceDE/>
        <w:autoSpaceDN/>
        <w:jc w:val="both"/>
        <w:rPr>
          <w:rFonts w:cs="Times New Roman"/>
          <w:bCs/>
          <w:kern w:val="2"/>
          <w:sz w:val="21"/>
          <w:szCs w:val="21"/>
          <w:lang w:val="en-US" w:bidi="ar-SA"/>
        </w:rPr>
      </w:pPr>
    </w:p>
    <w:p>
      <w:pPr>
        <w:topLinePunct/>
        <w:autoSpaceDE/>
        <w:autoSpaceDN/>
        <w:jc w:val="both"/>
        <w:rPr>
          <w:rFonts w:cs="Times New Roman"/>
          <w:bCs/>
          <w:kern w:val="2"/>
          <w:sz w:val="21"/>
          <w:szCs w:val="21"/>
          <w:lang w:val="en-US" w:bidi="ar-SA"/>
        </w:rPr>
      </w:pPr>
      <w:r>
        <w:rPr>
          <w:rFonts w:cs="Times New Roman"/>
          <w:bCs/>
          <w:kern w:val="2"/>
          <w:sz w:val="21"/>
          <w:szCs w:val="21"/>
          <w:lang w:val="en-US" w:bidi="ar-SA"/>
        </w:rPr>
        <w:t>系</w:t>
      </w:r>
      <w:r>
        <w:rPr>
          <w:rFonts w:hint="eastAsia" w:cs="Times New Roman"/>
          <w:bCs/>
          <w:kern w:val="2"/>
          <w:sz w:val="21"/>
          <w:szCs w:val="21"/>
          <w:u w:val="single"/>
          <w:lang w:val="en-US" w:bidi="ar-SA"/>
        </w:rPr>
        <w:t>（投标人名称）</w:t>
      </w:r>
      <w:r>
        <w:rPr>
          <w:rFonts w:cs="Times New Roman"/>
          <w:bCs/>
          <w:kern w:val="2"/>
          <w:sz w:val="21"/>
          <w:szCs w:val="21"/>
          <w:lang w:val="en-US" w:bidi="ar-SA"/>
        </w:rPr>
        <w:t>的法定代表人。</w:t>
      </w:r>
    </w:p>
    <w:p>
      <w:pPr>
        <w:topLinePunct/>
        <w:autoSpaceDE/>
        <w:autoSpaceDN/>
        <w:jc w:val="both"/>
        <w:rPr>
          <w:rFonts w:cs="Times New Roman"/>
          <w:bCs/>
          <w:kern w:val="2"/>
          <w:sz w:val="21"/>
          <w:szCs w:val="21"/>
          <w:lang w:val="en-US" w:bidi="ar-SA"/>
        </w:rPr>
      </w:pPr>
    </w:p>
    <w:p>
      <w:pPr>
        <w:topLinePunct/>
        <w:autoSpaceDE/>
        <w:autoSpaceDN/>
        <w:ind w:firstLine="420" w:firstLineChars="200"/>
        <w:jc w:val="both"/>
        <w:rPr>
          <w:rFonts w:cs="Times New Roman"/>
          <w:bCs/>
          <w:kern w:val="2"/>
          <w:sz w:val="21"/>
          <w:szCs w:val="21"/>
          <w:lang w:val="en-US" w:bidi="ar-SA"/>
        </w:rPr>
      </w:pPr>
      <w:r>
        <w:rPr>
          <w:rFonts w:cs="Times New Roman"/>
          <w:bCs/>
          <w:kern w:val="2"/>
          <w:sz w:val="21"/>
          <w:szCs w:val="21"/>
          <w:lang w:val="en-US" w:bidi="ar-SA"/>
        </w:rPr>
        <w:t>特此证明。</w:t>
      </w:r>
    </w:p>
    <w:p>
      <w:pPr>
        <w:topLinePunct/>
        <w:autoSpaceDE/>
        <w:autoSpaceDN/>
        <w:jc w:val="both"/>
        <w:rPr>
          <w:rFonts w:cs="Times New Roman"/>
          <w:bCs/>
          <w:kern w:val="2"/>
          <w:sz w:val="21"/>
          <w:szCs w:val="21"/>
          <w:lang w:val="en-US" w:bidi="ar-SA"/>
        </w:rPr>
      </w:pPr>
    </w:p>
    <w:p>
      <w:pPr>
        <w:topLinePunct/>
        <w:autoSpaceDE/>
        <w:autoSpaceDN/>
        <w:ind w:firstLine="422" w:firstLineChars="200"/>
        <w:jc w:val="both"/>
        <w:rPr>
          <w:rFonts w:cs="Times New Roman"/>
          <w:bCs/>
          <w:kern w:val="2"/>
          <w:sz w:val="21"/>
          <w:szCs w:val="21"/>
          <w:lang w:val="en-US" w:bidi="ar-SA"/>
        </w:rPr>
      </w:pPr>
      <w:r>
        <w:rPr>
          <w:rFonts w:hint="eastAsia" w:cs="Times New Roman"/>
          <w:b/>
          <w:bCs/>
          <w:kern w:val="2"/>
          <w:sz w:val="21"/>
          <w:szCs w:val="21"/>
          <w:lang w:val="en-US" w:bidi="ar-SA"/>
        </w:rPr>
        <w:t>附：法定代表人身份证</w:t>
      </w:r>
      <w:r>
        <w:rPr>
          <w:rFonts w:hint="eastAsia" w:ascii="Times New Roman" w:hAnsi="Times New Roman" w:cs="Times New Roman"/>
          <w:b/>
          <w:kern w:val="2"/>
          <w:sz w:val="21"/>
          <w:szCs w:val="21"/>
          <w:lang w:val="en-US" w:bidi="ar-SA"/>
        </w:rPr>
        <w:t>彩色复印件或彩色扫描件</w:t>
      </w:r>
      <w:r>
        <w:rPr>
          <w:rFonts w:hint="eastAsia" w:cs="Times New Roman"/>
          <w:b/>
          <w:bCs/>
          <w:kern w:val="2"/>
          <w:sz w:val="21"/>
          <w:szCs w:val="21"/>
          <w:lang w:val="en-US" w:bidi="ar-SA"/>
        </w:rPr>
        <w:t>。</w:t>
      </w:r>
    </w:p>
    <w:p>
      <w:pPr>
        <w:topLinePunct/>
        <w:autoSpaceDE/>
        <w:autoSpaceDN/>
        <w:jc w:val="both"/>
        <w:rPr>
          <w:rFonts w:cs="Times New Roman"/>
          <w:bCs/>
          <w:kern w:val="2"/>
          <w:sz w:val="21"/>
          <w:szCs w:val="21"/>
          <w:lang w:val="en-US" w:bidi="ar-SA"/>
        </w:rPr>
      </w:pPr>
    </w:p>
    <w:p>
      <w:pPr>
        <w:topLinePunct/>
        <w:autoSpaceDE/>
        <w:autoSpaceDN/>
        <w:jc w:val="both"/>
        <w:rPr>
          <w:rFonts w:cs="Times New Roman"/>
          <w:bCs/>
          <w:kern w:val="2"/>
          <w:sz w:val="21"/>
          <w:szCs w:val="21"/>
          <w:lang w:val="en-US" w:bidi="ar-SA"/>
        </w:rPr>
      </w:pPr>
    </w:p>
    <w:p>
      <w:pPr>
        <w:topLinePunct/>
        <w:autoSpaceDE/>
        <w:autoSpaceDN/>
        <w:jc w:val="both"/>
        <w:rPr>
          <w:rFonts w:cs="Times New Roman"/>
          <w:bCs/>
          <w:kern w:val="2"/>
          <w:sz w:val="21"/>
          <w:szCs w:val="21"/>
          <w:lang w:val="en-US" w:bidi="ar-SA"/>
        </w:rPr>
      </w:pPr>
    </w:p>
    <w:p>
      <w:pPr>
        <w:topLinePunct/>
        <w:autoSpaceDE/>
        <w:autoSpaceDN/>
        <w:jc w:val="both"/>
        <w:rPr>
          <w:rFonts w:cs="Times New Roman"/>
          <w:bCs/>
          <w:kern w:val="2"/>
          <w:sz w:val="21"/>
          <w:szCs w:val="21"/>
          <w:lang w:val="en-US" w:bidi="ar-SA"/>
        </w:rPr>
      </w:pPr>
    </w:p>
    <w:p>
      <w:pPr>
        <w:topLinePunct/>
        <w:autoSpaceDE/>
        <w:autoSpaceDN/>
        <w:jc w:val="both"/>
        <w:rPr>
          <w:rFonts w:cs="Times New Roman"/>
          <w:bCs/>
          <w:kern w:val="2"/>
          <w:sz w:val="21"/>
          <w:szCs w:val="21"/>
          <w:lang w:val="en-US" w:bidi="ar-SA"/>
        </w:rPr>
      </w:pPr>
    </w:p>
    <w:p>
      <w:pPr>
        <w:topLinePunct/>
        <w:autoSpaceDE/>
        <w:autoSpaceDN/>
        <w:jc w:val="both"/>
        <w:rPr>
          <w:rFonts w:cs="Times New Roman"/>
          <w:bCs/>
          <w:kern w:val="2"/>
          <w:sz w:val="21"/>
          <w:szCs w:val="21"/>
          <w:lang w:val="en-US" w:bidi="ar-SA"/>
        </w:rPr>
      </w:pPr>
    </w:p>
    <w:p>
      <w:pPr>
        <w:topLinePunct/>
        <w:autoSpaceDE/>
        <w:autoSpaceDN/>
        <w:jc w:val="both"/>
        <w:rPr>
          <w:rFonts w:cs="Times New Roman"/>
          <w:bCs/>
          <w:kern w:val="2"/>
          <w:sz w:val="21"/>
          <w:szCs w:val="21"/>
          <w:lang w:val="en-US" w:bidi="ar-SA"/>
        </w:rPr>
      </w:pPr>
    </w:p>
    <w:p>
      <w:pPr>
        <w:topLinePunct/>
        <w:autoSpaceDE/>
        <w:autoSpaceDN/>
        <w:jc w:val="both"/>
        <w:rPr>
          <w:rFonts w:cs="Times New Roman"/>
          <w:bCs/>
          <w:kern w:val="2"/>
          <w:sz w:val="21"/>
          <w:szCs w:val="21"/>
          <w:lang w:val="en-US" w:bidi="ar-SA"/>
        </w:rPr>
      </w:pPr>
    </w:p>
    <w:p>
      <w:pPr>
        <w:topLinePunct/>
        <w:autoSpaceDE/>
        <w:autoSpaceDN/>
        <w:jc w:val="both"/>
        <w:rPr>
          <w:rFonts w:cs="Times New Roman"/>
          <w:bCs/>
          <w:kern w:val="2"/>
          <w:sz w:val="21"/>
          <w:szCs w:val="21"/>
          <w:lang w:val="en-US" w:bidi="ar-SA"/>
        </w:rPr>
      </w:pPr>
    </w:p>
    <w:p>
      <w:pPr>
        <w:topLinePunct/>
        <w:autoSpaceDE/>
        <w:autoSpaceDN/>
        <w:jc w:val="both"/>
        <w:rPr>
          <w:rFonts w:cs="Times New Roman"/>
          <w:bCs/>
          <w:kern w:val="2"/>
          <w:sz w:val="21"/>
          <w:szCs w:val="21"/>
          <w:lang w:val="en-US" w:bidi="ar-SA"/>
        </w:rPr>
      </w:pPr>
    </w:p>
    <w:p>
      <w:pPr>
        <w:topLinePunct/>
        <w:autoSpaceDE/>
        <w:autoSpaceDN/>
        <w:ind w:firstLine="3675" w:firstLineChars="1750"/>
        <w:jc w:val="both"/>
        <w:rPr>
          <w:rFonts w:cs="Times New Roman"/>
          <w:bCs/>
          <w:kern w:val="2"/>
          <w:sz w:val="21"/>
          <w:szCs w:val="21"/>
          <w:lang w:val="en-US" w:bidi="ar-SA"/>
        </w:rPr>
      </w:pPr>
      <w:r>
        <w:rPr>
          <w:rFonts w:cs="Times New Roman"/>
          <w:bCs/>
          <w:kern w:val="2"/>
          <w:sz w:val="21"/>
          <w:szCs w:val="21"/>
          <w:lang w:val="en-US" w:bidi="ar-SA"/>
        </w:rPr>
        <w:t>投标人：</w:t>
      </w:r>
      <w:r>
        <w:rPr>
          <w:rFonts w:hint="eastAsia" w:cs="Times New Roman"/>
          <w:bCs/>
          <w:kern w:val="2"/>
          <w:sz w:val="21"/>
          <w:szCs w:val="21"/>
          <w:lang w:val="en-US" w:bidi="ar-SA"/>
        </w:rPr>
        <w:t>(</w:t>
      </w:r>
      <w:r>
        <w:rPr>
          <w:rFonts w:cs="Times New Roman"/>
          <w:bCs/>
          <w:kern w:val="2"/>
          <w:sz w:val="21"/>
          <w:szCs w:val="21"/>
          <w:lang w:val="en-US" w:bidi="ar-SA"/>
        </w:rPr>
        <w:t>盖单位章</w:t>
      </w:r>
      <w:r>
        <w:rPr>
          <w:rFonts w:hint="eastAsia" w:cs="Times New Roman"/>
          <w:bCs/>
          <w:kern w:val="2"/>
          <w:sz w:val="21"/>
          <w:szCs w:val="21"/>
          <w:lang w:val="en-US" w:bidi="ar-SA"/>
        </w:rPr>
        <w:t>)</w:t>
      </w:r>
    </w:p>
    <w:p>
      <w:pPr>
        <w:wordWrap w:val="0"/>
        <w:topLinePunct/>
        <w:autoSpaceDE/>
        <w:autoSpaceDN/>
        <w:ind w:right="420" w:firstLine="3780" w:firstLineChars="1800"/>
        <w:jc w:val="both"/>
        <w:rPr>
          <w:rFonts w:ascii="Times New Roman" w:hAnsi="Times New Roman" w:cs="Times New Roman"/>
          <w:bCs/>
          <w:kern w:val="2"/>
          <w:sz w:val="21"/>
          <w:szCs w:val="21"/>
          <w:u w:val="single"/>
          <w:lang w:val="en-US" w:bidi="ar-SA"/>
        </w:rPr>
      </w:pPr>
    </w:p>
    <w:p>
      <w:pPr>
        <w:topLinePunct/>
        <w:autoSpaceDE/>
        <w:autoSpaceDN/>
        <w:spacing w:beforeLines="50" w:afterLines="50"/>
        <w:ind w:firstLine="5670" w:firstLineChars="2700"/>
        <w:jc w:val="both"/>
        <w:rPr>
          <w:rFonts w:ascii="Times New Roman" w:cs="Times New Roman"/>
          <w:bCs/>
          <w:kern w:val="2"/>
          <w:sz w:val="21"/>
          <w:szCs w:val="21"/>
          <w:lang w:val="en-US" w:bidi="ar-SA"/>
        </w:rPr>
      </w:pPr>
      <w:r>
        <w:rPr>
          <w:rFonts w:ascii="Times New Roman" w:cs="Times New Roman"/>
          <w:bCs/>
          <w:kern w:val="2"/>
          <w:sz w:val="21"/>
          <w:szCs w:val="21"/>
          <w:lang w:val="en-US" w:bidi="ar-SA"/>
        </w:rPr>
        <w:t>年月日</w:t>
      </w:r>
    </w:p>
    <w:p>
      <w:pPr>
        <w:topLinePunct/>
        <w:autoSpaceDE/>
        <w:autoSpaceDN/>
        <w:jc w:val="both"/>
        <w:rPr>
          <w:rFonts w:ascii="Times New Roman" w:hAnsi="Times New Roman" w:cs="Times New Roman"/>
          <w:kern w:val="2"/>
          <w:sz w:val="21"/>
          <w:szCs w:val="21"/>
          <w:lang w:val="en-US" w:bidi="ar-SA"/>
        </w:rPr>
      </w:pPr>
    </w:p>
    <w:p>
      <w:pPr>
        <w:topLinePunct/>
        <w:autoSpaceDE/>
        <w:autoSpaceDN/>
        <w:jc w:val="both"/>
        <w:rPr>
          <w:rFonts w:ascii="Times New Roman" w:hAnsi="Times New Roman" w:cs="Times New Roman"/>
          <w:kern w:val="2"/>
          <w:sz w:val="21"/>
          <w:szCs w:val="21"/>
          <w:lang w:val="en-US" w:bidi="ar-SA"/>
        </w:rPr>
      </w:pPr>
    </w:p>
    <w:p>
      <w:pPr>
        <w:topLinePunct/>
        <w:autoSpaceDE/>
        <w:autoSpaceDN/>
        <w:jc w:val="both"/>
        <w:rPr>
          <w:rFonts w:ascii="Times New Roman" w:hAnsi="Times New Roman" w:cs="Times New Roman"/>
          <w:kern w:val="2"/>
          <w:sz w:val="21"/>
          <w:szCs w:val="21"/>
          <w:lang w:val="en-US" w:bidi="ar-SA"/>
        </w:rPr>
      </w:pPr>
    </w:p>
    <w:p>
      <w:pPr>
        <w:topLinePunct/>
        <w:autoSpaceDE/>
        <w:autoSpaceDN/>
        <w:jc w:val="both"/>
        <w:rPr>
          <w:rFonts w:ascii="Times New Roman" w:hAnsi="Times New Roman" w:cs="Times New Roman"/>
          <w:kern w:val="2"/>
          <w:sz w:val="21"/>
          <w:szCs w:val="21"/>
          <w:lang w:val="en-US" w:bidi="ar-SA"/>
        </w:rPr>
      </w:pPr>
    </w:p>
    <w:p>
      <w:pPr>
        <w:topLinePunct/>
        <w:autoSpaceDE/>
        <w:autoSpaceDN/>
        <w:jc w:val="both"/>
        <w:rPr>
          <w:rFonts w:ascii="Times New Roman" w:hAnsi="Times New Roman" w:cs="Times New Roman"/>
          <w:kern w:val="2"/>
          <w:sz w:val="21"/>
          <w:szCs w:val="21"/>
          <w:lang w:val="en-US" w:bidi="ar-SA"/>
        </w:rPr>
      </w:pPr>
    </w:p>
    <w:p>
      <w:pPr>
        <w:topLinePunct/>
        <w:autoSpaceDE/>
        <w:autoSpaceDN/>
        <w:jc w:val="both"/>
        <w:rPr>
          <w:rFonts w:ascii="Times New Roman" w:hAnsi="Times New Roman" w:cs="Times New Roman"/>
          <w:kern w:val="2"/>
          <w:sz w:val="21"/>
          <w:szCs w:val="21"/>
          <w:lang w:val="en-US" w:bidi="ar-SA"/>
        </w:rPr>
      </w:pPr>
    </w:p>
    <w:p>
      <w:pPr>
        <w:topLinePunct/>
        <w:autoSpaceDE/>
        <w:autoSpaceDN/>
        <w:jc w:val="both"/>
        <w:rPr>
          <w:rFonts w:ascii="Times New Roman" w:hAnsi="Times New Roman" w:cs="Times New Roman"/>
          <w:kern w:val="2"/>
          <w:sz w:val="21"/>
          <w:szCs w:val="21"/>
          <w:lang w:val="en-US" w:bidi="ar-SA"/>
        </w:rPr>
      </w:pPr>
    </w:p>
    <w:p>
      <w:pPr>
        <w:topLinePunct/>
        <w:autoSpaceDE/>
        <w:autoSpaceDN/>
        <w:jc w:val="both"/>
        <w:rPr>
          <w:rFonts w:ascii="Times New Roman" w:hAnsi="Times New Roman" w:cs="Times New Roman"/>
          <w:kern w:val="2"/>
          <w:sz w:val="21"/>
          <w:szCs w:val="21"/>
          <w:lang w:val="en-US" w:bidi="ar-SA"/>
        </w:rPr>
      </w:pPr>
    </w:p>
    <w:p>
      <w:pPr>
        <w:topLinePunct/>
        <w:autoSpaceDE/>
        <w:autoSpaceDN/>
        <w:jc w:val="both"/>
        <w:rPr>
          <w:rFonts w:ascii="Times New Roman" w:hAnsi="Times New Roman" w:cs="Times New Roman"/>
          <w:kern w:val="2"/>
          <w:sz w:val="21"/>
          <w:szCs w:val="21"/>
          <w:lang w:val="en-US" w:bidi="ar-SA"/>
        </w:rPr>
      </w:pPr>
    </w:p>
    <w:p>
      <w:pPr>
        <w:topLinePunct/>
        <w:autoSpaceDE/>
        <w:autoSpaceDN/>
        <w:jc w:val="both"/>
        <w:rPr>
          <w:rFonts w:ascii="Times New Roman" w:hAnsi="Times New Roman" w:cs="Times New Roman"/>
          <w:kern w:val="2"/>
          <w:sz w:val="21"/>
          <w:szCs w:val="21"/>
          <w:lang w:val="en-US" w:bidi="ar-SA"/>
        </w:rPr>
      </w:pPr>
    </w:p>
    <w:p>
      <w:pPr>
        <w:topLinePunct/>
        <w:autoSpaceDE/>
        <w:autoSpaceDN/>
        <w:jc w:val="both"/>
        <w:rPr>
          <w:rFonts w:ascii="Times New Roman" w:hAnsi="Times New Roman" w:cs="Times New Roman"/>
          <w:kern w:val="2"/>
          <w:sz w:val="21"/>
          <w:szCs w:val="21"/>
          <w:lang w:val="en-US" w:bidi="ar-SA"/>
        </w:rPr>
      </w:pPr>
    </w:p>
    <w:p>
      <w:pPr>
        <w:topLinePunct/>
        <w:autoSpaceDE/>
        <w:autoSpaceDN/>
        <w:jc w:val="both"/>
        <w:rPr>
          <w:rFonts w:ascii="Times New Roman" w:hAnsi="Times New Roman" w:cs="Times New Roman"/>
          <w:kern w:val="2"/>
          <w:sz w:val="21"/>
          <w:szCs w:val="21"/>
          <w:lang w:val="en-US" w:bidi="ar-SA"/>
        </w:rPr>
      </w:pPr>
    </w:p>
    <w:p>
      <w:pPr>
        <w:topLinePunct/>
        <w:autoSpaceDE/>
        <w:autoSpaceDN/>
        <w:jc w:val="both"/>
        <w:rPr>
          <w:rFonts w:ascii="Times New Roman" w:hAnsi="Times New Roman" w:cs="Times New Roman"/>
          <w:kern w:val="2"/>
          <w:sz w:val="21"/>
          <w:szCs w:val="21"/>
          <w:lang w:val="en-US" w:bidi="ar-SA"/>
        </w:rPr>
      </w:pPr>
    </w:p>
    <w:p>
      <w:pPr>
        <w:topLinePunct/>
        <w:autoSpaceDE/>
        <w:autoSpaceDN/>
        <w:jc w:val="both"/>
        <w:rPr>
          <w:rFonts w:ascii="Times New Roman" w:hAnsi="Times New Roman" w:cs="Times New Roman"/>
          <w:kern w:val="2"/>
          <w:sz w:val="21"/>
          <w:szCs w:val="21"/>
          <w:lang w:val="en-US" w:bidi="ar-SA"/>
        </w:rPr>
      </w:pPr>
    </w:p>
    <w:p>
      <w:pPr>
        <w:autoSpaceDE/>
        <w:autoSpaceDN/>
        <w:spacing w:line="440" w:lineRule="exact"/>
        <w:jc w:val="both"/>
        <w:rPr>
          <w:rFonts w:cs="Times New Roman"/>
          <w:b/>
          <w:kern w:val="2"/>
          <w:sz w:val="24"/>
          <w:szCs w:val="24"/>
          <w:lang w:val="en-US" w:bidi="ar-SA"/>
        </w:rPr>
      </w:pPr>
    </w:p>
    <w:p>
      <w:pPr>
        <w:widowControl/>
        <w:autoSpaceDE/>
        <w:autoSpaceDN/>
        <w:rPr>
          <w:sz w:val="36"/>
        </w:rPr>
      </w:pPr>
    </w:p>
    <w:p>
      <w:pPr>
        <w:widowControl/>
        <w:autoSpaceDE/>
        <w:autoSpaceDN/>
        <w:rPr>
          <w:sz w:val="36"/>
        </w:rPr>
      </w:pPr>
      <w:r>
        <w:rPr>
          <w:sz w:val="36"/>
        </w:rPr>
        <w:br w:type="page"/>
      </w:r>
    </w:p>
    <w:p>
      <w:pPr>
        <w:spacing w:before="25"/>
        <w:ind w:right="139"/>
        <w:jc w:val="center"/>
        <w:rPr>
          <w:sz w:val="36"/>
        </w:rPr>
      </w:pPr>
      <w:r>
        <w:rPr>
          <w:rFonts w:hint="eastAsia"/>
          <w:sz w:val="36"/>
        </w:rPr>
        <w:t>联合体协议</w:t>
      </w:r>
    </w:p>
    <w:p>
      <w:pPr>
        <w:pStyle w:val="13"/>
        <w:spacing w:before="4"/>
        <w:rPr>
          <w:rFonts w:ascii="Microsoft JhengHei"/>
          <w:b/>
          <w:sz w:val="28"/>
        </w:rPr>
      </w:pPr>
    </w:p>
    <w:p>
      <w:pPr>
        <w:pStyle w:val="3"/>
        <w:spacing w:before="0"/>
        <w:ind w:left="3453"/>
        <w:jc w:val="left"/>
      </w:pPr>
      <w:r>
        <w:t>本项目不适用。</w:t>
      </w:r>
    </w:p>
    <w:p>
      <w:pPr>
        <w:sectPr>
          <w:pgSz w:w="11910" w:h="16840"/>
          <w:pgMar w:top="1361" w:right="1474" w:bottom="1361" w:left="1474" w:header="720" w:footer="720" w:gutter="0"/>
          <w:cols w:space="720" w:num="1"/>
        </w:sectPr>
      </w:pPr>
    </w:p>
    <w:p>
      <w:pPr>
        <w:spacing w:before="25" w:afterLines="50"/>
        <w:ind w:right="142"/>
        <w:jc w:val="center"/>
        <w:rPr>
          <w:sz w:val="36"/>
          <w:lang w:val="en-US"/>
        </w:rPr>
      </w:pPr>
      <w:r>
        <w:rPr>
          <w:rFonts w:hint="eastAsia"/>
          <w:sz w:val="36"/>
          <w:lang w:val="en-US"/>
        </w:rPr>
        <w:t>投标担保</w:t>
      </w:r>
    </w:p>
    <w:p>
      <w:pPr>
        <w:pStyle w:val="13"/>
        <w:tabs>
          <w:tab w:val="left" w:pos="1742"/>
          <w:tab w:val="left" w:pos="2566"/>
          <w:tab w:val="left" w:pos="5182"/>
          <w:tab w:val="left" w:pos="7026"/>
        </w:tabs>
        <w:spacing w:line="327" w:lineRule="auto"/>
        <w:ind w:left="142" w:right="135" w:firstLine="479"/>
        <w:rPr>
          <w:spacing w:val="-2"/>
          <w:sz w:val="23"/>
          <w:szCs w:val="23"/>
        </w:rPr>
      </w:pPr>
      <w:r>
        <w:rPr>
          <w:rFonts w:hint="eastAsia"/>
          <w:spacing w:val="-2"/>
          <w:sz w:val="23"/>
          <w:szCs w:val="23"/>
        </w:rPr>
        <w:t>若采用本票，此处附银行本票及申请单的复印件，银行本票原件在现场开标地点递交给招标人（招标代理）；</w:t>
      </w:r>
    </w:p>
    <w:p>
      <w:pPr>
        <w:pStyle w:val="13"/>
        <w:tabs>
          <w:tab w:val="left" w:pos="1742"/>
          <w:tab w:val="left" w:pos="2566"/>
          <w:tab w:val="left" w:pos="5182"/>
          <w:tab w:val="left" w:pos="7026"/>
        </w:tabs>
        <w:spacing w:line="327" w:lineRule="auto"/>
        <w:ind w:left="142" w:right="135" w:firstLine="479"/>
        <w:rPr>
          <w:spacing w:val="-2"/>
          <w:sz w:val="23"/>
          <w:szCs w:val="23"/>
        </w:rPr>
      </w:pPr>
      <w:r>
        <w:rPr>
          <w:rFonts w:hint="eastAsia"/>
          <w:spacing w:val="-2"/>
          <w:sz w:val="23"/>
          <w:szCs w:val="23"/>
        </w:rPr>
        <w:t>若采用汇票，此处附银行汇票的复印件，银行汇票原件在现场开标地点递交给招标人（招标代理）；</w:t>
      </w:r>
    </w:p>
    <w:p>
      <w:pPr>
        <w:pStyle w:val="13"/>
        <w:tabs>
          <w:tab w:val="left" w:pos="1742"/>
          <w:tab w:val="left" w:pos="2566"/>
          <w:tab w:val="left" w:pos="5182"/>
          <w:tab w:val="left" w:pos="7026"/>
        </w:tabs>
        <w:spacing w:line="327" w:lineRule="auto"/>
        <w:ind w:left="142" w:right="135" w:firstLine="479"/>
        <w:rPr>
          <w:spacing w:val="-2"/>
          <w:sz w:val="23"/>
          <w:szCs w:val="23"/>
        </w:rPr>
      </w:pPr>
      <w:r>
        <w:rPr>
          <w:rFonts w:hint="eastAsia"/>
          <w:spacing w:val="-2"/>
          <w:sz w:val="23"/>
          <w:szCs w:val="23"/>
        </w:rPr>
        <w:t>若采用电汇，此处附银行出具的汇款凭证复印件。</w:t>
      </w:r>
    </w:p>
    <w:p>
      <w:pPr>
        <w:pStyle w:val="13"/>
        <w:tabs>
          <w:tab w:val="left" w:pos="1742"/>
          <w:tab w:val="left" w:pos="2566"/>
          <w:tab w:val="left" w:pos="5182"/>
          <w:tab w:val="left" w:pos="7026"/>
        </w:tabs>
        <w:spacing w:line="327" w:lineRule="auto"/>
        <w:ind w:left="142" w:right="135" w:firstLine="479"/>
        <w:rPr>
          <w:spacing w:val="-2"/>
          <w:sz w:val="23"/>
          <w:szCs w:val="23"/>
        </w:rPr>
      </w:pPr>
      <w:r>
        <w:rPr>
          <w:rFonts w:hint="eastAsia"/>
          <w:spacing w:val="-2"/>
          <w:sz w:val="23"/>
          <w:szCs w:val="23"/>
        </w:rPr>
        <w:t>如采用银行保函，银行保函原件应在递交投标文件的同时递交与招标人（招标代理），并将复印件装订在此处，格式如下：</w:t>
      </w:r>
    </w:p>
    <w:p>
      <w:pPr>
        <w:rPr>
          <w:sz w:val="23"/>
          <w:szCs w:val="23"/>
        </w:rPr>
      </w:pPr>
    </w:p>
    <w:p>
      <w:pPr>
        <w:spacing w:before="13"/>
        <w:rPr>
          <w:sz w:val="23"/>
          <w:szCs w:val="23"/>
        </w:rPr>
      </w:pPr>
    </w:p>
    <w:p>
      <w:pPr>
        <w:pStyle w:val="13"/>
        <w:tabs>
          <w:tab w:val="left" w:pos="2061"/>
        </w:tabs>
        <w:spacing w:before="26"/>
        <w:ind w:left="142"/>
        <w:rPr>
          <w:sz w:val="23"/>
          <w:szCs w:val="23"/>
        </w:rPr>
      </w:pPr>
      <w:r>
        <w:rPr>
          <w:sz w:val="23"/>
          <w:szCs w:val="23"/>
          <w:u w:val="single" w:color="000000"/>
        </w:rPr>
        <w:tab/>
      </w:r>
      <w:r>
        <w:rPr>
          <w:sz w:val="23"/>
          <w:szCs w:val="23"/>
        </w:rPr>
        <w:t>（招标人名称</w:t>
      </w:r>
      <w:r>
        <w:rPr>
          <w:spacing w:val="-120"/>
          <w:sz w:val="23"/>
          <w:szCs w:val="23"/>
        </w:rPr>
        <w:t>）</w:t>
      </w:r>
      <w:r>
        <w:rPr>
          <w:sz w:val="23"/>
          <w:szCs w:val="23"/>
        </w:rPr>
        <w:t>：</w:t>
      </w:r>
    </w:p>
    <w:p>
      <w:pPr>
        <w:rPr>
          <w:sz w:val="23"/>
          <w:szCs w:val="23"/>
        </w:rPr>
      </w:pPr>
    </w:p>
    <w:p>
      <w:pPr>
        <w:spacing w:before="4"/>
        <w:rPr>
          <w:sz w:val="23"/>
          <w:szCs w:val="23"/>
        </w:rPr>
      </w:pPr>
    </w:p>
    <w:p>
      <w:pPr>
        <w:pStyle w:val="13"/>
        <w:tabs>
          <w:tab w:val="left" w:pos="1742"/>
          <w:tab w:val="left" w:pos="2566"/>
          <w:tab w:val="left" w:pos="5182"/>
          <w:tab w:val="left" w:pos="7026"/>
        </w:tabs>
        <w:spacing w:line="327" w:lineRule="auto"/>
        <w:ind w:left="142" w:right="135" w:firstLine="479"/>
        <w:rPr>
          <w:sz w:val="23"/>
          <w:szCs w:val="23"/>
        </w:rPr>
      </w:pPr>
      <w:r>
        <w:rPr>
          <w:spacing w:val="2"/>
          <w:sz w:val="23"/>
          <w:szCs w:val="23"/>
        </w:rPr>
        <w:t>鉴于</w:t>
      </w:r>
      <w:r>
        <w:rPr>
          <w:spacing w:val="2"/>
          <w:sz w:val="23"/>
          <w:szCs w:val="23"/>
          <w:u w:val="single" w:color="000000"/>
        </w:rPr>
        <w:tab/>
      </w:r>
      <w:r>
        <w:rPr>
          <w:spacing w:val="2"/>
          <w:sz w:val="23"/>
          <w:szCs w:val="23"/>
          <w:u w:val="single" w:color="000000"/>
        </w:rPr>
        <w:tab/>
      </w:r>
      <w:r>
        <w:rPr>
          <w:sz w:val="23"/>
          <w:szCs w:val="23"/>
        </w:rPr>
        <w:t>（投</w:t>
      </w:r>
      <w:r>
        <w:rPr>
          <w:spacing w:val="2"/>
          <w:sz w:val="23"/>
          <w:szCs w:val="23"/>
        </w:rPr>
        <w:t>标人名</w:t>
      </w:r>
      <w:r>
        <w:rPr>
          <w:sz w:val="23"/>
          <w:szCs w:val="23"/>
        </w:rPr>
        <w:t>称</w:t>
      </w:r>
      <w:r>
        <w:rPr>
          <w:spacing w:val="-118"/>
          <w:sz w:val="23"/>
          <w:szCs w:val="23"/>
        </w:rPr>
        <w:t>）</w:t>
      </w:r>
      <w:r>
        <w:rPr>
          <w:sz w:val="23"/>
          <w:szCs w:val="23"/>
        </w:rPr>
        <w:t>（</w:t>
      </w:r>
      <w:r>
        <w:rPr>
          <w:spacing w:val="2"/>
          <w:sz w:val="23"/>
          <w:szCs w:val="23"/>
        </w:rPr>
        <w:t>以下称</w:t>
      </w:r>
      <w:r>
        <w:rPr>
          <w:spacing w:val="-1"/>
          <w:sz w:val="23"/>
          <w:szCs w:val="23"/>
        </w:rPr>
        <w:t>“</w:t>
      </w:r>
      <w:r>
        <w:rPr>
          <w:sz w:val="23"/>
          <w:szCs w:val="23"/>
        </w:rPr>
        <w:t>投</w:t>
      </w:r>
      <w:r>
        <w:rPr>
          <w:spacing w:val="2"/>
          <w:sz w:val="23"/>
          <w:szCs w:val="23"/>
        </w:rPr>
        <w:t>标人</w:t>
      </w:r>
      <w:r>
        <w:rPr>
          <w:spacing w:val="1"/>
          <w:sz w:val="23"/>
          <w:szCs w:val="23"/>
        </w:rPr>
        <w:t>”</w:t>
      </w:r>
      <w:r>
        <w:rPr>
          <w:spacing w:val="2"/>
          <w:sz w:val="23"/>
          <w:szCs w:val="23"/>
        </w:rPr>
        <w:t>）</w:t>
      </w:r>
      <w:r>
        <w:rPr>
          <w:sz w:val="23"/>
          <w:szCs w:val="23"/>
        </w:rPr>
        <w:t>于年月</w:t>
      </w:r>
      <w:r>
        <w:rPr>
          <w:spacing w:val="2"/>
          <w:sz w:val="23"/>
          <w:szCs w:val="23"/>
        </w:rPr>
        <w:t xml:space="preserve">日参 </w:t>
      </w:r>
      <w:r>
        <w:rPr>
          <w:sz w:val="23"/>
          <w:szCs w:val="23"/>
        </w:rPr>
        <w:t>加</w:t>
      </w:r>
      <w:r>
        <w:rPr>
          <w:sz w:val="23"/>
          <w:szCs w:val="23"/>
          <w:u w:val="single" w:color="000000"/>
        </w:rPr>
        <w:tab/>
      </w:r>
      <w:r>
        <w:rPr>
          <w:sz w:val="23"/>
          <w:szCs w:val="23"/>
        </w:rPr>
        <w:t>（项目名称</w:t>
      </w:r>
      <w:r>
        <w:rPr>
          <w:sz w:val="23"/>
          <w:szCs w:val="23"/>
          <w:u w:val="single" w:color="000000"/>
        </w:rPr>
        <w:t xml:space="preserve">）    </w:t>
      </w:r>
      <w:r>
        <w:rPr>
          <w:sz w:val="23"/>
          <w:szCs w:val="23"/>
        </w:rPr>
        <w:t>标段的投标，</w:t>
      </w:r>
      <w:r>
        <w:rPr>
          <w:sz w:val="23"/>
          <w:szCs w:val="23"/>
          <w:u w:val="single" w:color="000000"/>
        </w:rPr>
        <w:tab/>
      </w:r>
      <w:r>
        <w:rPr>
          <w:sz w:val="23"/>
          <w:szCs w:val="23"/>
        </w:rPr>
        <w:t xml:space="preserve">（担保人名称， </w:t>
      </w:r>
      <w:r>
        <w:rPr>
          <w:spacing w:val="-2"/>
          <w:sz w:val="23"/>
          <w:szCs w:val="23"/>
        </w:rPr>
        <w:t>以下简称“我方”）无条件地、不可撤销地保证：若投标人在投标有效期内撤销投标</w:t>
      </w:r>
      <w:r>
        <w:rPr>
          <w:sz w:val="23"/>
          <w:szCs w:val="23"/>
        </w:rPr>
        <w:t>文件</w:t>
      </w:r>
      <w:r>
        <w:rPr>
          <w:spacing w:val="-39"/>
          <w:sz w:val="23"/>
          <w:szCs w:val="23"/>
        </w:rPr>
        <w:t>，</w:t>
      </w:r>
      <w:r>
        <w:rPr>
          <w:sz w:val="23"/>
          <w:szCs w:val="23"/>
        </w:rPr>
        <w:t>中标后无正当理由不与招标人订立合同</w:t>
      </w:r>
      <w:r>
        <w:rPr>
          <w:spacing w:val="-39"/>
          <w:sz w:val="23"/>
          <w:szCs w:val="23"/>
        </w:rPr>
        <w:t>，</w:t>
      </w:r>
      <w:r>
        <w:rPr>
          <w:sz w:val="23"/>
          <w:szCs w:val="23"/>
        </w:rPr>
        <w:t>在签订合同时向招标人提出附加条件</w:t>
      </w:r>
      <w:r>
        <w:rPr>
          <w:spacing w:val="-39"/>
          <w:sz w:val="23"/>
          <w:szCs w:val="23"/>
        </w:rPr>
        <w:t>，</w:t>
      </w:r>
      <w:r>
        <w:rPr>
          <w:sz w:val="23"/>
          <w:szCs w:val="23"/>
        </w:rPr>
        <w:t>不按照招标文件要求提交履约保证金</w:t>
      </w:r>
      <w:r>
        <w:rPr>
          <w:spacing w:val="-39"/>
          <w:sz w:val="23"/>
          <w:szCs w:val="23"/>
        </w:rPr>
        <w:t>，</w:t>
      </w:r>
      <w:r>
        <w:rPr>
          <w:sz w:val="23"/>
          <w:szCs w:val="23"/>
        </w:rPr>
        <w:t>或发生招标文件明确规定可以不予退还 投标保证金的其他情形</w:t>
      </w:r>
      <w:r>
        <w:rPr>
          <w:spacing w:val="-27"/>
          <w:sz w:val="23"/>
          <w:szCs w:val="23"/>
        </w:rPr>
        <w:t>，</w:t>
      </w:r>
      <w:r>
        <w:rPr>
          <w:sz w:val="23"/>
          <w:szCs w:val="23"/>
        </w:rPr>
        <w:t>我方承担保证责任</w:t>
      </w:r>
      <w:r>
        <w:rPr>
          <w:spacing w:val="-27"/>
          <w:sz w:val="23"/>
          <w:szCs w:val="23"/>
        </w:rPr>
        <w:t>。</w:t>
      </w:r>
      <w:r>
        <w:rPr>
          <w:sz w:val="23"/>
          <w:szCs w:val="23"/>
        </w:rPr>
        <w:t>收到你方书面通知后</w:t>
      </w:r>
      <w:r>
        <w:rPr>
          <w:spacing w:val="-27"/>
          <w:sz w:val="23"/>
          <w:szCs w:val="23"/>
        </w:rPr>
        <w:t>，</w:t>
      </w:r>
      <w:r>
        <w:rPr>
          <w:sz w:val="23"/>
          <w:szCs w:val="23"/>
        </w:rPr>
        <w:t>我方在7 日内 向你方无条件支付人民币（大写）</w:t>
      </w:r>
      <w:r>
        <w:rPr>
          <w:sz w:val="23"/>
          <w:szCs w:val="23"/>
          <w:u w:val="single" w:color="000000"/>
        </w:rPr>
        <w:tab/>
      </w:r>
      <w:r>
        <w:rPr>
          <w:sz w:val="23"/>
          <w:szCs w:val="23"/>
        </w:rPr>
        <w:t>元。</w:t>
      </w:r>
    </w:p>
    <w:p>
      <w:pPr>
        <w:pStyle w:val="13"/>
        <w:spacing w:before="38" w:line="336" w:lineRule="auto"/>
        <w:ind w:left="142" w:right="141" w:firstLine="479"/>
        <w:rPr>
          <w:sz w:val="23"/>
          <w:szCs w:val="23"/>
        </w:rPr>
      </w:pPr>
      <w:r>
        <w:rPr>
          <w:sz w:val="23"/>
          <w:szCs w:val="23"/>
        </w:rPr>
        <w:t>本保函在投标有效期或经延长的投标有效期内保持有效</w:t>
      </w:r>
      <w:r>
        <w:rPr>
          <w:spacing w:val="-80"/>
          <w:sz w:val="23"/>
          <w:szCs w:val="23"/>
        </w:rPr>
        <w:t>。</w:t>
      </w:r>
      <w:r>
        <w:rPr>
          <w:sz w:val="23"/>
          <w:szCs w:val="23"/>
        </w:rPr>
        <w:t>要求我方承担保证责 任的通知应在上述期限内送达我方。你方延长投标有效期的决定，应通知我方。</w:t>
      </w:r>
    </w:p>
    <w:p>
      <w:pPr>
        <w:rPr>
          <w:sz w:val="23"/>
          <w:szCs w:val="23"/>
        </w:rPr>
      </w:pPr>
    </w:p>
    <w:p>
      <w:pPr>
        <w:rPr>
          <w:sz w:val="23"/>
          <w:szCs w:val="23"/>
        </w:rPr>
      </w:pPr>
    </w:p>
    <w:p>
      <w:pPr>
        <w:spacing w:before="11"/>
        <w:rPr>
          <w:sz w:val="23"/>
          <w:szCs w:val="23"/>
        </w:rPr>
      </w:pPr>
    </w:p>
    <w:p>
      <w:pPr>
        <w:pStyle w:val="13"/>
        <w:tabs>
          <w:tab w:val="left" w:pos="2842"/>
          <w:tab w:val="left" w:pos="7162"/>
          <w:tab w:val="left" w:pos="7643"/>
          <w:tab w:val="left" w:pos="8178"/>
        </w:tabs>
        <w:spacing w:line="336" w:lineRule="auto"/>
        <w:ind w:left="2122" w:right="240"/>
        <w:rPr>
          <w:sz w:val="23"/>
          <w:szCs w:val="23"/>
        </w:rPr>
      </w:pPr>
      <w:r>
        <w:rPr>
          <w:sz w:val="23"/>
          <w:szCs w:val="23"/>
        </w:rPr>
        <w:t>担保人名称：</w:t>
      </w:r>
      <w:r>
        <w:rPr>
          <w:sz w:val="23"/>
          <w:szCs w:val="23"/>
          <w:u w:val="single" w:color="000000"/>
        </w:rPr>
        <w:tab/>
      </w:r>
      <w:r>
        <w:rPr>
          <w:sz w:val="23"/>
          <w:szCs w:val="23"/>
        </w:rPr>
        <w:t>（盖单位章） 法定代表人或其委托代理人：</w:t>
      </w:r>
      <w:r>
        <w:rPr>
          <w:sz w:val="23"/>
          <w:szCs w:val="23"/>
          <w:u w:val="single" w:color="000000"/>
        </w:rPr>
        <w:tab/>
      </w:r>
      <w:r>
        <w:rPr>
          <w:sz w:val="23"/>
          <w:szCs w:val="23"/>
          <w:u w:val="single" w:color="000000"/>
        </w:rPr>
        <w:tab/>
      </w:r>
      <w:r>
        <w:rPr>
          <w:sz w:val="23"/>
          <w:szCs w:val="23"/>
        </w:rPr>
        <w:t>（签字）</w:t>
      </w:r>
    </w:p>
    <w:p>
      <w:pPr>
        <w:pStyle w:val="13"/>
        <w:tabs>
          <w:tab w:val="left" w:pos="2842"/>
          <w:tab w:val="left" w:pos="7162"/>
          <w:tab w:val="left" w:pos="7643"/>
          <w:tab w:val="left" w:pos="8178"/>
        </w:tabs>
        <w:spacing w:line="336" w:lineRule="auto"/>
        <w:ind w:left="2122" w:right="240"/>
        <w:rPr>
          <w:sz w:val="23"/>
          <w:szCs w:val="23"/>
          <w:u w:val="single" w:color="000000"/>
        </w:rPr>
      </w:pPr>
      <w:r>
        <w:rPr>
          <w:sz w:val="23"/>
          <w:szCs w:val="23"/>
        </w:rPr>
        <w:t>地</w:t>
      </w:r>
      <w:r>
        <w:rPr>
          <w:sz w:val="23"/>
          <w:szCs w:val="23"/>
        </w:rPr>
        <w:tab/>
      </w:r>
      <w:r>
        <w:rPr>
          <w:sz w:val="23"/>
          <w:szCs w:val="23"/>
        </w:rPr>
        <w:t>址：</w:t>
      </w:r>
      <w:r>
        <w:rPr>
          <w:sz w:val="23"/>
          <w:szCs w:val="23"/>
          <w:u w:val="single" w:color="000000"/>
        </w:rPr>
        <w:tab/>
      </w:r>
      <w:r>
        <w:rPr>
          <w:sz w:val="23"/>
          <w:szCs w:val="23"/>
          <w:u w:val="single" w:color="000000"/>
        </w:rPr>
        <w:tab/>
      </w:r>
      <w:r>
        <w:rPr>
          <w:sz w:val="23"/>
          <w:szCs w:val="23"/>
          <w:u w:val="single" w:color="000000"/>
        </w:rPr>
        <w:tab/>
      </w:r>
    </w:p>
    <w:p>
      <w:pPr>
        <w:pStyle w:val="13"/>
        <w:tabs>
          <w:tab w:val="left" w:pos="2842"/>
          <w:tab w:val="left" w:pos="7162"/>
          <w:tab w:val="left" w:pos="7643"/>
          <w:tab w:val="left" w:pos="8178"/>
        </w:tabs>
        <w:spacing w:line="336" w:lineRule="auto"/>
        <w:ind w:left="2122" w:right="240"/>
        <w:rPr>
          <w:sz w:val="23"/>
          <w:szCs w:val="23"/>
          <w:u w:val="single" w:color="000000"/>
        </w:rPr>
      </w:pPr>
      <w:r>
        <w:rPr>
          <w:sz w:val="23"/>
          <w:szCs w:val="23"/>
        </w:rPr>
        <w:t>邮政编码：</w:t>
      </w:r>
      <w:r>
        <w:rPr>
          <w:sz w:val="23"/>
          <w:szCs w:val="23"/>
          <w:u w:val="single" w:color="000000"/>
        </w:rPr>
        <w:tab/>
      </w:r>
      <w:r>
        <w:rPr>
          <w:sz w:val="23"/>
          <w:szCs w:val="23"/>
          <w:u w:val="single" w:color="000000"/>
        </w:rPr>
        <w:tab/>
      </w:r>
      <w:r>
        <w:rPr>
          <w:sz w:val="23"/>
          <w:szCs w:val="23"/>
          <w:u w:val="single" w:color="000000"/>
        </w:rPr>
        <w:tab/>
      </w:r>
    </w:p>
    <w:p>
      <w:pPr>
        <w:pStyle w:val="13"/>
        <w:tabs>
          <w:tab w:val="left" w:pos="2842"/>
          <w:tab w:val="left" w:pos="7162"/>
          <w:tab w:val="left" w:pos="7643"/>
          <w:tab w:val="left" w:pos="8178"/>
        </w:tabs>
        <w:spacing w:line="336" w:lineRule="auto"/>
        <w:ind w:left="2122" w:right="240"/>
        <w:rPr>
          <w:sz w:val="23"/>
          <w:szCs w:val="23"/>
          <w:u w:val="single" w:color="000000"/>
        </w:rPr>
      </w:pPr>
      <w:r>
        <w:rPr>
          <w:sz w:val="23"/>
          <w:szCs w:val="23"/>
        </w:rPr>
        <w:t>电</w:t>
      </w:r>
      <w:r>
        <w:rPr>
          <w:sz w:val="23"/>
          <w:szCs w:val="23"/>
        </w:rPr>
        <w:tab/>
      </w:r>
      <w:r>
        <w:rPr>
          <w:sz w:val="23"/>
          <w:szCs w:val="23"/>
        </w:rPr>
        <w:t>话：</w:t>
      </w:r>
      <w:r>
        <w:rPr>
          <w:sz w:val="23"/>
          <w:szCs w:val="23"/>
          <w:u w:val="single" w:color="000000"/>
        </w:rPr>
        <w:tab/>
      </w:r>
      <w:r>
        <w:rPr>
          <w:sz w:val="23"/>
          <w:szCs w:val="23"/>
          <w:u w:val="single" w:color="000000"/>
        </w:rPr>
        <w:tab/>
      </w:r>
      <w:r>
        <w:rPr>
          <w:sz w:val="23"/>
          <w:szCs w:val="23"/>
          <w:u w:val="single" w:color="000000"/>
        </w:rPr>
        <w:tab/>
      </w:r>
    </w:p>
    <w:p>
      <w:pPr>
        <w:pStyle w:val="13"/>
        <w:tabs>
          <w:tab w:val="left" w:pos="2842"/>
          <w:tab w:val="left" w:pos="7162"/>
          <w:tab w:val="left" w:pos="7643"/>
          <w:tab w:val="left" w:pos="8178"/>
        </w:tabs>
        <w:spacing w:line="336" w:lineRule="auto"/>
        <w:ind w:left="2122" w:right="240"/>
        <w:rPr>
          <w:sz w:val="23"/>
          <w:szCs w:val="23"/>
        </w:rPr>
      </w:pPr>
      <w:r>
        <w:rPr>
          <w:sz w:val="23"/>
          <w:szCs w:val="23"/>
        </w:rPr>
        <w:t>传</w:t>
      </w:r>
      <w:r>
        <w:rPr>
          <w:sz w:val="23"/>
          <w:szCs w:val="23"/>
        </w:rPr>
        <w:tab/>
      </w:r>
      <w:r>
        <w:rPr>
          <w:sz w:val="23"/>
          <w:szCs w:val="23"/>
        </w:rPr>
        <w:t>真：</w:t>
      </w:r>
      <w:r>
        <w:rPr>
          <w:sz w:val="23"/>
          <w:szCs w:val="23"/>
          <w:u w:val="single" w:color="000000"/>
        </w:rPr>
        <w:tab/>
      </w:r>
      <w:r>
        <w:rPr>
          <w:sz w:val="23"/>
          <w:szCs w:val="23"/>
          <w:u w:val="single" w:color="000000"/>
        </w:rPr>
        <w:tab/>
      </w:r>
      <w:r>
        <w:rPr>
          <w:sz w:val="23"/>
          <w:szCs w:val="23"/>
          <w:u w:val="single" w:color="000000"/>
        </w:rPr>
        <w:tab/>
      </w:r>
    </w:p>
    <w:p>
      <w:pPr>
        <w:pStyle w:val="13"/>
        <w:tabs>
          <w:tab w:val="left" w:pos="6142"/>
          <w:tab w:val="left" w:pos="7102"/>
          <w:tab w:val="left" w:pos="8063"/>
        </w:tabs>
        <w:spacing w:before="28"/>
        <w:ind w:left="5183"/>
        <w:rPr>
          <w:sz w:val="23"/>
          <w:szCs w:val="23"/>
        </w:rPr>
      </w:pPr>
      <w:r>
        <w:rPr>
          <w:sz w:val="23"/>
          <w:szCs w:val="23"/>
          <w:u w:val="single" w:color="000000"/>
        </w:rPr>
        <w:tab/>
      </w:r>
      <w:r>
        <w:rPr>
          <w:sz w:val="23"/>
          <w:szCs w:val="23"/>
        </w:rPr>
        <w:t>年</w:t>
      </w:r>
      <w:r>
        <w:rPr>
          <w:sz w:val="23"/>
          <w:szCs w:val="23"/>
          <w:u w:val="single" w:color="000000"/>
        </w:rPr>
        <w:tab/>
      </w:r>
      <w:r>
        <w:rPr>
          <w:sz w:val="23"/>
          <w:szCs w:val="23"/>
        </w:rPr>
        <w:t>月</w:t>
      </w:r>
      <w:r>
        <w:rPr>
          <w:sz w:val="23"/>
          <w:szCs w:val="23"/>
          <w:u w:val="single" w:color="000000"/>
        </w:rPr>
        <w:tab/>
      </w:r>
      <w:r>
        <w:rPr>
          <w:sz w:val="23"/>
          <w:szCs w:val="23"/>
        </w:rPr>
        <w:t>日</w:t>
      </w:r>
    </w:p>
    <w:p>
      <w:pPr>
        <w:widowControl/>
        <w:spacing w:line="400" w:lineRule="exact"/>
        <w:jc w:val="center"/>
        <w:rPr>
          <w:b/>
          <w:sz w:val="24"/>
        </w:rPr>
        <w:sectPr>
          <w:pgSz w:w="11906" w:h="16838"/>
          <w:pgMar w:top="1361" w:right="1304" w:bottom="1361" w:left="1474" w:header="851" w:footer="992" w:gutter="0"/>
          <w:cols w:space="720" w:num="1"/>
          <w:docGrid w:linePitch="312" w:charSpace="0"/>
        </w:sectPr>
      </w:pPr>
    </w:p>
    <w:tbl>
      <w:tblPr>
        <w:tblStyle w:val="26"/>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42"/>
        <w:gridCol w:w="2242"/>
        <w:gridCol w:w="2242"/>
        <w:gridCol w:w="2243"/>
        <w:gridCol w:w="2243"/>
        <w:gridCol w:w="22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3455" w:type="dxa"/>
            <w:gridSpan w:val="6"/>
          </w:tcPr>
          <w:p>
            <w:pPr>
              <w:pStyle w:val="28"/>
              <w:spacing w:line="604" w:lineRule="exact"/>
              <w:ind w:left="2546" w:right="2537"/>
              <w:jc w:val="center"/>
              <w:rPr>
                <w:b/>
                <w:sz w:val="23"/>
                <w:szCs w:val="23"/>
              </w:rPr>
            </w:pPr>
            <w:r>
              <w:rPr>
                <w:rFonts w:hint="eastAsia"/>
                <w:b/>
                <w:sz w:val="23"/>
                <w:szCs w:val="23"/>
              </w:rPr>
              <w:t>表</w:t>
            </w:r>
            <w:r>
              <w:rPr>
                <w:b/>
                <w:sz w:val="23"/>
                <w:szCs w:val="23"/>
              </w:rPr>
              <w:t xml:space="preserve"> 1 企业信息基本表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242" w:type="dxa"/>
          </w:tcPr>
          <w:p>
            <w:pPr>
              <w:pStyle w:val="28"/>
              <w:spacing w:before="135"/>
              <w:ind w:left="108"/>
              <w:rPr>
                <w:sz w:val="23"/>
                <w:szCs w:val="23"/>
              </w:rPr>
            </w:pPr>
            <w:r>
              <w:rPr>
                <w:sz w:val="23"/>
                <w:szCs w:val="23"/>
              </w:rPr>
              <w:t>申请人全称：</w:t>
            </w:r>
          </w:p>
        </w:tc>
        <w:tc>
          <w:tcPr>
            <w:tcW w:w="11213" w:type="dxa"/>
            <w:gridSpan w:val="5"/>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242" w:type="dxa"/>
          </w:tcPr>
          <w:p>
            <w:pPr>
              <w:pStyle w:val="28"/>
              <w:spacing w:before="134"/>
              <w:ind w:left="108"/>
              <w:rPr>
                <w:sz w:val="23"/>
                <w:szCs w:val="23"/>
              </w:rPr>
            </w:pPr>
            <w:r>
              <w:rPr>
                <w:sz w:val="23"/>
                <w:szCs w:val="23"/>
              </w:rPr>
              <w:t>主要业务：</w:t>
            </w:r>
          </w:p>
        </w:tc>
        <w:tc>
          <w:tcPr>
            <w:tcW w:w="11213" w:type="dxa"/>
            <w:gridSpan w:val="5"/>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242" w:type="dxa"/>
          </w:tcPr>
          <w:p>
            <w:pPr>
              <w:pStyle w:val="28"/>
              <w:spacing w:before="134"/>
              <w:ind w:left="108"/>
              <w:rPr>
                <w:sz w:val="23"/>
                <w:szCs w:val="23"/>
              </w:rPr>
            </w:pPr>
            <w:r>
              <w:rPr>
                <w:sz w:val="23"/>
                <w:szCs w:val="23"/>
              </w:rPr>
              <w:t>营业范围：</w:t>
            </w:r>
          </w:p>
        </w:tc>
        <w:tc>
          <w:tcPr>
            <w:tcW w:w="11213" w:type="dxa"/>
            <w:gridSpan w:val="5"/>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2242" w:type="dxa"/>
          </w:tcPr>
          <w:p>
            <w:pPr>
              <w:pStyle w:val="28"/>
              <w:spacing w:before="135"/>
              <w:ind w:left="108"/>
              <w:rPr>
                <w:sz w:val="23"/>
                <w:szCs w:val="23"/>
              </w:rPr>
            </w:pPr>
            <w:r>
              <w:rPr>
                <w:sz w:val="23"/>
                <w:szCs w:val="23"/>
              </w:rPr>
              <w:t>营业执照注册</w:t>
            </w:r>
          </w:p>
          <w:p>
            <w:pPr>
              <w:pStyle w:val="28"/>
              <w:spacing w:before="7"/>
              <w:rPr>
                <w:rFonts w:ascii="Microsoft JhengHei"/>
                <w:b/>
                <w:sz w:val="23"/>
                <w:szCs w:val="23"/>
              </w:rPr>
            </w:pPr>
          </w:p>
          <w:p>
            <w:pPr>
              <w:pStyle w:val="28"/>
              <w:ind w:left="108"/>
              <w:rPr>
                <w:sz w:val="23"/>
                <w:szCs w:val="23"/>
              </w:rPr>
            </w:pPr>
            <w:r>
              <w:rPr>
                <w:sz w:val="23"/>
                <w:szCs w:val="23"/>
              </w:rPr>
              <w:t>号：</w:t>
            </w:r>
          </w:p>
        </w:tc>
        <w:tc>
          <w:tcPr>
            <w:tcW w:w="2242" w:type="dxa"/>
          </w:tcPr>
          <w:p>
            <w:pPr>
              <w:pStyle w:val="28"/>
              <w:rPr>
                <w:rFonts w:ascii="Times New Roman"/>
                <w:sz w:val="23"/>
                <w:szCs w:val="23"/>
              </w:rPr>
            </w:pPr>
          </w:p>
        </w:tc>
        <w:tc>
          <w:tcPr>
            <w:tcW w:w="2242" w:type="dxa"/>
          </w:tcPr>
          <w:p>
            <w:pPr>
              <w:pStyle w:val="28"/>
              <w:spacing w:before="135"/>
              <w:ind w:left="107"/>
              <w:rPr>
                <w:sz w:val="23"/>
                <w:szCs w:val="23"/>
              </w:rPr>
            </w:pPr>
            <w:r>
              <w:rPr>
                <w:sz w:val="23"/>
                <w:szCs w:val="23"/>
              </w:rPr>
              <w:t>注册资本(元)：</w:t>
            </w:r>
          </w:p>
        </w:tc>
        <w:tc>
          <w:tcPr>
            <w:tcW w:w="2243" w:type="dxa"/>
          </w:tcPr>
          <w:p>
            <w:pPr>
              <w:pStyle w:val="28"/>
              <w:rPr>
                <w:rFonts w:ascii="Times New Roman"/>
                <w:sz w:val="23"/>
                <w:szCs w:val="23"/>
              </w:rPr>
            </w:pPr>
          </w:p>
        </w:tc>
        <w:tc>
          <w:tcPr>
            <w:tcW w:w="2243" w:type="dxa"/>
          </w:tcPr>
          <w:p>
            <w:pPr>
              <w:pStyle w:val="28"/>
              <w:spacing w:before="135"/>
              <w:ind w:left="108"/>
              <w:rPr>
                <w:sz w:val="23"/>
                <w:szCs w:val="23"/>
              </w:rPr>
            </w:pPr>
            <w:r>
              <w:rPr>
                <w:sz w:val="23"/>
                <w:szCs w:val="23"/>
              </w:rPr>
              <w:t>信用等级：</w:t>
            </w:r>
          </w:p>
        </w:tc>
        <w:tc>
          <w:tcPr>
            <w:tcW w:w="2243"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2242" w:type="dxa"/>
          </w:tcPr>
          <w:p>
            <w:pPr>
              <w:pStyle w:val="28"/>
              <w:spacing w:before="134"/>
              <w:ind w:left="108"/>
              <w:rPr>
                <w:sz w:val="23"/>
                <w:szCs w:val="23"/>
              </w:rPr>
            </w:pPr>
            <w:r>
              <w:rPr>
                <w:sz w:val="23"/>
                <w:szCs w:val="23"/>
              </w:rPr>
              <w:t>建立日期：</w:t>
            </w:r>
          </w:p>
        </w:tc>
        <w:tc>
          <w:tcPr>
            <w:tcW w:w="2242" w:type="dxa"/>
          </w:tcPr>
          <w:p>
            <w:pPr>
              <w:pStyle w:val="28"/>
              <w:rPr>
                <w:rFonts w:ascii="Times New Roman"/>
                <w:sz w:val="23"/>
                <w:szCs w:val="23"/>
              </w:rPr>
            </w:pPr>
          </w:p>
        </w:tc>
        <w:tc>
          <w:tcPr>
            <w:tcW w:w="2242" w:type="dxa"/>
          </w:tcPr>
          <w:p>
            <w:pPr>
              <w:pStyle w:val="28"/>
              <w:spacing w:before="134"/>
              <w:ind w:left="107"/>
              <w:rPr>
                <w:rFonts w:ascii="Microsoft JhengHei"/>
                <w:b/>
                <w:sz w:val="23"/>
                <w:szCs w:val="23"/>
              </w:rPr>
            </w:pPr>
            <w:r>
              <w:rPr>
                <w:sz w:val="23"/>
                <w:szCs w:val="23"/>
              </w:rPr>
              <w:t>现有职工总人数</w:t>
            </w:r>
          </w:p>
          <w:p>
            <w:pPr>
              <w:pStyle w:val="28"/>
              <w:ind w:left="107"/>
              <w:rPr>
                <w:sz w:val="23"/>
                <w:szCs w:val="23"/>
              </w:rPr>
            </w:pPr>
            <w:r>
              <w:rPr>
                <w:sz w:val="23"/>
                <w:szCs w:val="23"/>
              </w:rPr>
              <w:t>(人)：</w:t>
            </w:r>
          </w:p>
        </w:tc>
        <w:tc>
          <w:tcPr>
            <w:tcW w:w="6729" w:type="dxa"/>
            <w:gridSpan w:val="3"/>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242" w:type="dxa"/>
          </w:tcPr>
          <w:p>
            <w:pPr>
              <w:pStyle w:val="28"/>
              <w:spacing w:before="134"/>
              <w:ind w:left="108"/>
              <w:rPr>
                <w:sz w:val="23"/>
                <w:szCs w:val="23"/>
              </w:rPr>
            </w:pPr>
            <w:r>
              <w:rPr>
                <w:sz w:val="23"/>
                <w:szCs w:val="23"/>
              </w:rPr>
              <w:t>办公地址：</w:t>
            </w:r>
          </w:p>
        </w:tc>
        <w:tc>
          <w:tcPr>
            <w:tcW w:w="11213" w:type="dxa"/>
            <w:gridSpan w:val="5"/>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242" w:type="dxa"/>
          </w:tcPr>
          <w:p>
            <w:pPr>
              <w:pStyle w:val="28"/>
              <w:spacing w:before="134"/>
              <w:ind w:left="108"/>
              <w:rPr>
                <w:sz w:val="23"/>
                <w:szCs w:val="23"/>
              </w:rPr>
            </w:pPr>
            <w:r>
              <w:rPr>
                <w:sz w:val="23"/>
                <w:szCs w:val="23"/>
              </w:rPr>
              <w:t>联系电话：</w:t>
            </w:r>
          </w:p>
        </w:tc>
        <w:tc>
          <w:tcPr>
            <w:tcW w:w="2242" w:type="dxa"/>
          </w:tcPr>
          <w:p>
            <w:pPr>
              <w:pStyle w:val="28"/>
              <w:rPr>
                <w:rFonts w:ascii="Times New Roman"/>
                <w:sz w:val="23"/>
                <w:szCs w:val="23"/>
              </w:rPr>
            </w:pPr>
          </w:p>
        </w:tc>
        <w:tc>
          <w:tcPr>
            <w:tcW w:w="2242" w:type="dxa"/>
          </w:tcPr>
          <w:p>
            <w:pPr>
              <w:pStyle w:val="28"/>
              <w:spacing w:before="134"/>
              <w:ind w:left="107"/>
              <w:rPr>
                <w:sz w:val="23"/>
                <w:szCs w:val="23"/>
              </w:rPr>
            </w:pPr>
            <w:r>
              <w:rPr>
                <w:sz w:val="23"/>
                <w:szCs w:val="23"/>
              </w:rPr>
              <w:t>传真：</w:t>
            </w:r>
          </w:p>
        </w:tc>
        <w:tc>
          <w:tcPr>
            <w:tcW w:w="6729" w:type="dxa"/>
            <w:gridSpan w:val="3"/>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242" w:type="dxa"/>
          </w:tcPr>
          <w:p>
            <w:pPr>
              <w:pStyle w:val="28"/>
              <w:spacing w:before="134"/>
              <w:ind w:left="108"/>
              <w:rPr>
                <w:sz w:val="23"/>
                <w:szCs w:val="23"/>
              </w:rPr>
            </w:pPr>
            <w:r>
              <w:rPr>
                <w:sz w:val="23"/>
                <w:szCs w:val="23"/>
              </w:rPr>
              <w:t>法人代表姓名：</w:t>
            </w:r>
          </w:p>
        </w:tc>
        <w:tc>
          <w:tcPr>
            <w:tcW w:w="2242" w:type="dxa"/>
          </w:tcPr>
          <w:p>
            <w:pPr>
              <w:pStyle w:val="28"/>
              <w:rPr>
                <w:rFonts w:ascii="Times New Roman"/>
                <w:sz w:val="23"/>
                <w:szCs w:val="23"/>
              </w:rPr>
            </w:pPr>
          </w:p>
        </w:tc>
        <w:tc>
          <w:tcPr>
            <w:tcW w:w="2242" w:type="dxa"/>
          </w:tcPr>
          <w:p>
            <w:pPr>
              <w:pStyle w:val="28"/>
              <w:spacing w:before="134"/>
              <w:ind w:left="107"/>
              <w:rPr>
                <w:sz w:val="23"/>
                <w:szCs w:val="23"/>
              </w:rPr>
            </w:pPr>
            <w:r>
              <w:rPr>
                <w:sz w:val="23"/>
                <w:szCs w:val="23"/>
              </w:rPr>
              <w:t>职务：</w:t>
            </w:r>
          </w:p>
        </w:tc>
        <w:tc>
          <w:tcPr>
            <w:tcW w:w="2243" w:type="dxa"/>
          </w:tcPr>
          <w:p>
            <w:pPr>
              <w:pStyle w:val="28"/>
              <w:rPr>
                <w:rFonts w:ascii="Times New Roman"/>
                <w:sz w:val="23"/>
                <w:szCs w:val="23"/>
              </w:rPr>
            </w:pPr>
          </w:p>
        </w:tc>
        <w:tc>
          <w:tcPr>
            <w:tcW w:w="2243" w:type="dxa"/>
          </w:tcPr>
          <w:p>
            <w:pPr>
              <w:pStyle w:val="28"/>
              <w:spacing w:before="134"/>
              <w:ind w:left="108"/>
              <w:rPr>
                <w:sz w:val="23"/>
                <w:szCs w:val="23"/>
              </w:rPr>
            </w:pPr>
            <w:r>
              <w:rPr>
                <w:sz w:val="23"/>
                <w:szCs w:val="23"/>
              </w:rPr>
              <w:t>联系电话：</w:t>
            </w:r>
          </w:p>
        </w:tc>
        <w:tc>
          <w:tcPr>
            <w:tcW w:w="2243"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2242" w:type="dxa"/>
          </w:tcPr>
          <w:p>
            <w:pPr>
              <w:pStyle w:val="28"/>
              <w:ind w:left="108"/>
              <w:rPr>
                <w:sz w:val="23"/>
                <w:szCs w:val="23"/>
              </w:rPr>
            </w:pPr>
            <w:r>
              <w:rPr>
                <w:sz w:val="23"/>
                <w:szCs w:val="23"/>
              </w:rPr>
              <w:t>技术负责人姓名：</w:t>
            </w:r>
          </w:p>
        </w:tc>
        <w:tc>
          <w:tcPr>
            <w:tcW w:w="2242" w:type="dxa"/>
          </w:tcPr>
          <w:p>
            <w:pPr>
              <w:pStyle w:val="28"/>
              <w:rPr>
                <w:rFonts w:ascii="Times New Roman"/>
                <w:sz w:val="23"/>
                <w:szCs w:val="23"/>
              </w:rPr>
            </w:pPr>
          </w:p>
        </w:tc>
        <w:tc>
          <w:tcPr>
            <w:tcW w:w="2242" w:type="dxa"/>
          </w:tcPr>
          <w:p>
            <w:pPr>
              <w:pStyle w:val="28"/>
              <w:spacing w:before="134"/>
              <w:ind w:left="107"/>
              <w:rPr>
                <w:rFonts w:ascii="Microsoft JhengHei"/>
                <w:b/>
                <w:sz w:val="23"/>
                <w:szCs w:val="23"/>
              </w:rPr>
            </w:pPr>
            <w:r>
              <w:rPr>
                <w:sz w:val="23"/>
                <w:szCs w:val="23"/>
              </w:rPr>
              <w:t>技术负责人职</w:t>
            </w:r>
          </w:p>
          <w:p>
            <w:pPr>
              <w:pStyle w:val="28"/>
              <w:ind w:left="107"/>
              <w:rPr>
                <w:sz w:val="23"/>
                <w:szCs w:val="23"/>
              </w:rPr>
            </w:pPr>
            <w:r>
              <w:rPr>
                <w:sz w:val="23"/>
                <w:szCs w:val="23"/>
              </w:rPr>
              <w:t>务：</w:t>
            </w:r>
          </w:p>
        </w:tc>
        <w:tc>
          <w:tcPr>
            <w:tcW w:w="2243" w:type="dxa"/>
          </w:tcPr>
          <w:p>
            <w:pPr>
              <w:pStyle w:val="28"/>
              <w:rPr>
                <w:rFonts w:ascii="Times New Roman"/>
                <w:sz w:val="23"/>
                <w:szCs w:val="23"/>
              </w:rPr>
            </w:pPr>
          </w:p>
        </w:tc>
        <w:tc>
          <w:tcPr>
            <w:tcW w:w="2243" w:type="dxa"/>
          </w:tcPr>
          <w:p>
            <w:pPr>
              <w:pStyle w:val="28"/>
              <w:ind w:left="108"/>
              <w:rPr>
                <w:sz w:val="23"/>
                <w:szCs w:val="23"/>
              </w:rPr>
            </w:pPr>
            <w:r>
              <w:rPr>
                <w:sz w:val="23"/>
                <w:szCs w:val="23"/>
              </w:rPr>
              <w:t>技术负责人电话：</w:t>
            </w:r>
          </w:p>
        </w:tc>
        <w:tc>
          <w:tcPr>
            <w:tcW w:w="2243"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242" w:type="dxa"/>
          </w:tcPr>
          <w:p>
            <w:pPr>
              <w:pStyle w:val="28"/>
              <w:spacing w:before="134"/>
              <w:ind w:left="108"/>
              <w:rPr>
                <w:sz w:val="23"/>
                <w:szCs w:val="23"/>
              </w:rPr>
            </w:pPr>
            <w:r>
              <w:rPr>
                <w:sz w:val="23"/>
                <w:szCs w:val="23"/>
              </w:rPr>
              <w:t>联系人姓名：</w:t>
            </w:r>
          </w:p>
        </w:tc>
        <w:tc>
          <w:tcPr>
            <w:tcW w:w="2242" w:type="dxa"/>
          </w:tcPr>
          <w:p>
            <w:pPr>
              <w:pStyle w:val="28"/>
              <w:rPr>
                <w:rFonts w:ascii="Times New Roman"/>
                <w:sz w:val="23"/>
                <w:szCs w:val="23"/>
              </w:rPr>
            </w:pPr>
          </w:p>
        </w:tc>
        <w:tc>
          <w:tcPr>
            <w:tcW w:w="2242" w:type="dxa"/>
          </w:tcPr>
          <w:p>
            <w:pPr>
              <w:pStyle w:val="28"/>
              <w:spacing w:before="134"/>
              <w:ind w:left="107"/>
              <w:rPr>
                <w:sz w:val="23"/>
                <w:szCs w:val="23"/>
              </w:rPr>
            </w:pPr>
            <w:r>
              <w:rPr>
                <w:sz w:val="23"/>
                <w:szCs w:val="23"/>
              </w:rPr>
              <w:t>联系人职务：</w:t>
            </w:r>
          </w:p>
        </w:tc>
        <w:tc>
          <w:tcPr>
            <w:tcW w:w="2243" w:type="dxa"/>
          </w:tcPr>
          <w:p>
            <w:pPr>
              <w:pStyle w:val="28"/>
              <w:rPr>
                <w:rFonts w:ascii="Times New Roman"/>
                <w:sz w:val="23"/>
                <w:szCs w:val="23"/>
              </w:rPr>
            </w:pPr>
          </w:p>
        </w:tc>
        <w:tc>
          <w:tcPr>
            <w:tcW w:w="2243" w:type="dxa"/>
          </w:tcPr>
          <w:p>
            <w:pPr>
              <w:pStyle w:val="28"/>
              <w:spacing w:before="134"/>
              <w:ind w:left="108"/>
              <w:rPr>
                <w:sz w:val="23"/>
                <w:szCs w:val="23"/>
              </w:rPr>
            </w:pPr>
            <w:r>
              <w:rPr>
                <w:sz w:val="23"/>
                <w:szCs w:val="23"/>
              </w:rPr>
              <w:t>联系人电话：</w:t>
            </w:r>
          </w:p>
        </w:tc>
        <w:tc>
          <w:tcPr>
            <w:tcW w:w="2243"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242" w:type="dxa"/>
          </w:tcPr>
          <w:p>
            <w:pPr>
              <w:pStyle w:val="28"/>
              <w:spacing w:before="134"/>
              <w:ind w:left="108"/>
              <w:rPr>
                <w:sz w:val="23"/>
                <w:szCs w:val="23"/>
              </w:rPr>
            </w:pPr>
            <w:r>
              <w:rPr>
                <w:sz w:val="23"/>
                <w:szCs w:val="23"/>
              </w:rPr>
              <w:t>联系人邮箱：</w:t>
            </w:r>
          </w:p>
        </w:tc>
        <w:tc>
          <w:tcPr>
            <w:tcW w:w="11213" w:type="dxa"/>
            <w:gridSpan w:val="5"/>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2242" w:type="dxa"/>
          </w:tcPr>
          <w:p>
            <w:pPr>
              <w:pStyle w:val="28"/>
              <w:ind w:left="108"/>
              <w:rPr>
                <w:sz w:val="23"/>
                <w:szCs w:val="23"/>
              </w:rPr>
            </w:pPr>
            <w:r>
              <w:rPr>
                <w:sz w:val="23"/>
                <w:szCs w:val="23"/>
              </w:rPr>
              <w:t>企业资质名称及等级：</w:t>
            </w:r>
          </w:p>
        </w:tc>
        <w:tc>
          <w:tcPr>
            <w:tcW w:w="2242" w:type="dxa"/>
          </w:tcPr>
          <w:p>
            <w:pPr>
              <w:pStyle w:val="28"/>
              <w:rPr>
                <w:rFonts w:ascii="Times New Roman"/>
                <w:sz w:val="23"/>
                <w:szCs w:val="23"/>
              </w:rPr>
            </w:pPr>
          </w:p>
        </w:tc>
        <w:tc>
          <w:tcPr>
            <w:tcW w:w="2242" w:type="dxa"/>
          </w:tcPr>
          <w:p>
            <w:pPr>
              <w:pStyle w:val="28"/>
              <w:ind w:left="107"/>
              <w:rPr>
                <w:sz w:val="23"/>
                <w:szCs w:val="23"/>
              </w:rPr>
            </w:pPr>
            <w:r>
              <w:rPr>
                <w:sz w:val="23"/>
                <w:szCs w:val="23"/>
              </w:rPr>
              <w:t>企业资质证书号：</w:t>
            </w:r>
          </w:p>
        </w:tc>
        <w:tc>
          <w:tcPr>
            <w:tcW w:w="2243" w:type="dxa"/>
          </w:tcPr>
          <w:p>
            <w:pPr>
              <w:pStyle w:val="28"/>
              <w:rPr>
                <w:rFonts w:ascii="Times New Roman"/>
                <w:sz w:val="23"/>
                <w:szCs w:val="23"/>
              </w:rPr>
            </w:pPr>
          </w:p>
        </w:tc>
        <w:tc>
          <w:tcPr>
            <w:tcW w:w="2243" w:type="dxa"/>
          </w:tcPr>
          <w:p>
            <w:pPr>
              <w:pStyle w:val="28"/>
              <w:ind w:left="108"/>
              <w:rPr>
                <w:sz w:val="23"/>
                <w:szCs w:val="23"/>
              </w:rPr>
            </w:pPr>
            <w:r>
              <w:rPr>
                <w:sz w:val="23"/>
                <w:szCs w:val="23"/>
              </w:rPr>
              <w:t>企业资质有效期：</w:t>
            </w:r>
          </w:p>
        </w:tc>
        <w:tc>
          <w:tcPr>
            <w:tcW w:w="2243"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2242" w:type="dxa"/>
          </w:tcPr>
          <w:p>
            <w:pPr>
              <w:pStyle w:val="28"/>
              <w:ind w:left="108"/>
              <w:rPr>
                <w:sz w:val="23"/>
                <w:szCs w:val="23"/>
              </w:rPr>
            </w:pPr>
            <w:r>
              <w:rPr>
                <w:sz w:val="23"/>
                <w:szCs w:val="23"/>
              </w:rPr>
              <w:t>企业资质名称及等级：</w:t>
            </w:r>
          </w:p>
        </w:tc>
        <w:tc>
          <w:tcPr>
            <w:tcW w:w="2242" w:type="dxa"/>
          </w:tcPr>
          <w:p>
            <w:pPr>
              <w:pStyle w:val="28"/>
              <w:rPr>
                <w:rFonts w:ascii="Times New Roman"/>
                <w:sz w:val="23"/>
                <w:szCs w:val="23"/>
              </w:rPr>
            </w:pPr>
          </w:p>
        </w:tc>
        <w:tc>
          <w:tcPr>
            <w:tcW w:w="2242" w:type="dxa"/>
          </w:tcPr>
          <w:p>
            <w:pPr>
              <w:pStyle w:val="28"/>
              <w:ind w:left="107"/>
              <w:rPr>
                <w:sz w:val="23"/>
                <w:szCs w:val="23"/>
              </w:rPr>
            </w:pPr>
            <w:r>
              <w:rPr>
                <w:sz w:val="23"/>
                <w:szCs w:val="23"/>
              </w:rPr>
              <w:t>企业资质证书号：</w:t>
            </w:r>
          </w:p>
        </w:tc>
        <w:tc>
          <w:tcPr>
            <w:tcW w:w="2243" w:type="dxa"/>
          </w:tcPr>
          <w:p>
            <w:pPr>
              <w:pStyle w:val="28"/>
              <w:rPr>
                <w:rFonts w:ascii="Times New Roman"/>
                <w:sz w:val="23"/>
                <w:szCs w:val="23"/>
              </w:rPr>
            </w:pPr>
          </w:p>
        </w:tc>
        <w:tc>
          <w:tcPr>
            <w:tcW w:w="2243" w:type="dxa"/>
          </w:tcPr>
          <w:p>
            <w:pPr>
              <w:pStyle w:val="28"/>
              <w:ind w:left="108"/>
              <w:rPr>
                <w:sz w:val="23"/>
                <w:szCs w:val="23"/>
              </w:rPr>
            </w:pPr>
            <w:r>
              <w:rPr>
                <w:sz w:val="23"/>
                <w:szCs w:val="23"/>
              </w:rPr>
              <w:t>企业资质有效期：</w:t>
            </w:r>
          </w:p>
        </w:tc>
        <w:tc>
          <w:tcPr>
            <w:tcW w:w="2243"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2242" w:type="dxa"/>
          </w:tcPr>
          <w:p>
            <w:pPr>
              <w:pStyle w:val="28"/>
              <w:ind w:left="108"/>
              <w:rPr>
                <w:sz w:val="23"/>
                <w:szCs w:val="23"/>
              </w:rPr>
            </w:pPr>
            <w:r>
              <w:rPr>
                <w:sz w:val="23"/>
                <w:szCs w:val="23"/>
              </w:rPr>
              <w:t>安全许可证证书编号：</w:t>
            </w:r>
          </w:p>
        </w:tc>
        <w:tc>
          <w:tcPr>
            <w:tcW w:w="6727" w:type="dxa"/>
            <w:gridSpan w:val="3"/>
          </w:tcPr>
          <w:p>
            <w:pPr>
              <w:pStyle w:val="28"/>
              <w:rPr>
                <w:rFonts w:ascii="Times New Roman"/>
                <w:sz w:val="23"/>
                <w:szCs w:val="23"/>
              </w:rPr>
            </w:pPr>
          </w:p>
        </w:tc>
        <w:tc>
          <w:tcPr>
            <w:tcW w:w="2243" w:type="dxa"/>
          </w:tcPr>
          <w:p>
            <w:pPr>
              <w:pStyle w:val="28"/>
              <w:ind w:left="108"/>
              <w:rPr>
                <w:sz w:val="23"/>
                <w:szCs w:val="23"/>
              </w:rPr>
            </w:pPr>
            <w:r>
              <w:rPr>
                <w:sz w:val="23"/>
                <w:szCs w:val="23"/>
              </w:rPr>
              <w:t>安全许可证证书有效期：</w:t>
            </w:r>
          </w:p>
        </w:tc>
        <w:tc>
          <w:tcPr>
            <w:tcW w:w="2243"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242" w:type="dxa"/>
          </w:tcPr>
          <w:p>
            <w:pPr>
              <w:pStyle w:val="28"/>
              <w:spacing w:before="134"/>
              <w:ind w:left="108"/>
              <w:rPr>
                <w:sz w:val="23"/>
                <w:szCs w:val="23"/>
              </w:rPr>
            </w:pPr>
            <w:r>
              <w:rPr>
                <w:sz w:val="23"/>
                <w:szCs w:val="23"/>
              </w:rPr>
              <w:t>基本户开户行：</w:t>
            </w:r>
          </w:p>
        </w:tc>
        <w:tc>
          <w:tcPr>
            <w:tcW w:w="6727" w:type="dxa"/>
            <w:gridSpan w:val="3"/>
          </w:tcPr>
          <w:p>
            <w:pPr>
              <w:pStyle w:val="28"/>
              <w:rPr>
                <w:rFonts w:ascii="Times New Roman"/>
                <w:sz w:val="23"/>
                <w:szCs w:val="23"/>
              </w:rPr>
            </w:pPr>
          </w:p>
        </w:tc>
        <w:tc>
          <w:tcPr>
            <w:tcW w:w="2243" w:type="dxa"/>
          </w:tcPr>
          <w:p>
            <w:pPr>
              <w:pStyle w:val="28"/>
              <w:spacing w:before="134"/>
              <w:ind w:left="108"/>
              <w:rPr>
                <w:sz w:val="23"/>
                <w:szCs w:val="23"/>
              </w:rPr>
            </w:pPr>
            <w:r>
              <w:rPr>
                <w:sz w:val="23"/>
                <w:szCs w:val="23"/>
              </w:rPr>
              <w:t>基本户户名：</w:t>
            </w:r>
          </w:p>
        </w:tc>
        <w:tc>
          <w:tcPr>
            <w:tcW w:w="2243"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242" w:type="dxa"/>
          </w:tcPr>
          <w:p>
            <w:pPr>
              <w:pStyle w:val="28"/>
              <w:spacing w:before="134"/>
              <w:ind w:left="108"/>
              <w:rPr>
                <w:sz w:val="23"/>
                <w:szCs w:val="23"/>
              </w:rPr>
            </w:pPr>
            <w:r>
              <w:rPr>
                <w:sz w:val="23"/>
                <w:szCs w:val="23"/>
              </w:rPr>
              <w:t>基本户账号：</w:t>
            </w:r>
          </w:p>
        </w:tc>
        <w:tc>
          <w:tcPr>
            <w:tcW w:w="11213" w:type="dxa"/>
            <w:gridSpan w:val="5"/>
          </w:tcPr>
          <w:p>
            <w:pPr>
              <w:pStyle w:val="28"/>
              <w:rPr>
                <w:rFonts w:ascii="Times New Roman"/>
                <w:sz w:val="23"/>
                <w:szCs w:val="23"/>
              </w:rPr>
            </w:pPr>
          </w:p>
        </w:tc>
      </w:tr>
    </w:tbl>
    <w:p>
      <w:pPr>
        <w:rPr>
          <w:rFonts w:ascii="Times New Roman"/>
          <w:sz w:val="28"/>
        </w:rPr>
      </w:pPr>
    </w:p>
    <w:p>
      <w:pPr>
        <w:autoSpaceDE/>
        <w:autoSpaceDN/>
        <w:spacing w:line="360" w:lineRule="exact"/>
        <w:jc w:val="both"/>
        <w:rPr>
          <w:b/>
          <w:bCs/>
          <w:kern w:val="2"/>
          <w:sz w:val="21"/>
          <w:szCs w:val="21"/>
          <w:lang w:val="en-US" w:bidi="ar-SA"/>
        </w:rPr>
      </w:pPr>
      <w:r>
        <w:rPr>
          <w:rFonts w:hint="eastAsia" w:cs="Times New Roman"/>
          <w:b/>
          <w:kern w:val="2"/>
          <w:sz w:val="21"/>
          <w:szCs w:val="21"/>
          <w:lang w:val="en-US" w:bidi="ar-SA"/>
        </w:rPr>
        <w:t>注：</w:t>
      </w:r>
      <w:r>
        <w:rPr>
          <w:rFonts w:hint="eastAsia" w:cs="Times New Roman"/>
          <w:b/>
          <w:bCs/>
          <w:kern w:val="2"/>
          <w:sz w:val="21"/>
          <w:szCs w:val="21"/>
          <w:lang w:val="en-US" w:bidi="ar-SA"/>
        </w:rPr>
        <w:t>本表后附如下资料至少包括以下：（1）企业法人的</w:t>
      </w:r>
      <w:r>
        <w:rPr>
          <w:rFonts w:hint="eastAsia"/>
          <w:b/>
          <w:bCs/>
          <w:kern w:val="2"/>
          <w:sz w:val="21"/>
          <w:szCs w:val="21"/>
          <w:lang w:val="en-US" w:bidi="ar-SA"/>
        </w:rPr>
        <w:t>营业执照副本或事业单位法人证书、投标人基本账户开户许可证或</w:t>
      </w:r>
      <w:r>
        <w:rPr>
          <w:b/>
          <w:bCs/>
          <w:kern w:val="2"/>
          <w:sz w:val="21"/>
          <w:szCs w:val="21"/>
          <w:lang w:val="en-US" w:bidi="ar-SA"/>
        </w:rPr>
        <w:t>开户证明</w:t>
      </w:r>
      <w:r>
        <w:rPr>
          <w:rFonts w:hint="eastAsia"/>
          <w:b/>
          <w:bCs/>
          <w:kern w:val="2"/>
          <w:sz w:val="21"/>
          <w:szCs w:val="21"/>
          <w:lang w:val="en-US" w:bidi="ar-SA"/>
        </w:rPr>
        <w:t>、资质证书的彩色复印件或彩色扫描件。</w:t>
      </w:r>
    </w:p>
    <w:p>
      <w:pPr>
        <w:rPr>
          <w:rFonts w:ascii="Times New Roman"/>
          <w:sz w:val="28"/>
          <w:lang w:val="en-US"/>
        </w:rPr>
      </w:pPr>
    </w:p>
    <w:p>
      <w:pPr>
        <w:rPr>
          <w:rFonts w:ascii="Times New Roman"/>
          <w:sz w:val="28"/>
        </w:rPr>
      </w:pPr>
    </w:p>
    <w:p>
      <w:pPr>
        <w:rPr>
          <w:rFonts w:ascii="Times New Roman"/>
          <w:sz w:val="28"/>
        </w:rPr>
        <w:sectPr>
          <w:pgSz w:w="16840" w:h="23820"/>
          <w:pgMar w:top="1361" w:right="1474" w:bottom="1361" w:left="1474" w:header="720" w:footer="720" w:gutter="0"/>
          <w:cols w:space="720" w:num="1"/>
        </w:sectPr>
      </w:pPr>
    </w:p>
    <w:tbl>
      <w:tblPr>
        <w:tblStyle w:val="26"/>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1559"/>
        <w:gridCol w:w="851"/>
        <w:gridCol w:w="850"/>
        <w:gridCol w:w="1524"/>
        <w:gridCol w:w="1453"/>
        <w:gridCol w:w="992"/>
        <w:gridCol w:w="921"/>
        <w:gridCol w:w="1206"/>
        <w:gridCol w:w="1038"/>
        <w:gridCol w:w="1122"/>
        <w:gridCol w:w="11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3455" w:type="dxa"/>
            <w:gridSpan w:val="12"/>
          </w:tcPr>
          <w:p>
            <w:pPr>
              <w:pStyle w:val="28"/>
              <w:spacing w:line="604" w:lineRule="exact"/>
              <w:ind w:left="2546" w:right="2537"/>
              <w:jc w:val="center"/>
              <w:rPr>
                <w:b/>
                <w:sz w:val="23"/>
                <w:szCs w:val="23"/>
              </w:rPr>
            </w:pPr>
            <w:r>
              <w:rPr>
                <w:b/>
                <w:sz w:val="23"/>
                <w:szCs w:val="23"/>
              </w:rPr>
              <w:tab/>
            </w:r>
            <w:r>
              <w:rPr>
                <w:rFonts w:hint="eastAsia"/>
                <w:b/>
                <w:sz w:val="23"/>
                <w:szCs w:val="23"/>
              </w:rPr>
              <w:t>表</w:t>
            </w:r>
            <w:r>
              <w:rPr>
                <w:b/>
                <w:sz w:val="23"/>
                <w:szCs w:val="23"/>
              </w:rPr>
              <w:t xml:space="preserve"> 2拟投入本标段主要人员情况表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817" w:type="dxa"/>
          </w:tcPr>
          <w:p>
            <w:pPr>
              <w:pStyle w:val="28"/>
              <w:spacing w:before="13"/>
              <w:rPr>
                <w:rFonts w:ascii="Microsoft JhengHei"/>
                <w:b/>
                <w:sz w:val="23"/>
                <w:szCs w:val="23"/>
              </w:rPr>
            </w:pPr>
          </w:p>
          <w:p>
            <w:pPr>
              <w:pStyle w:val="28"/>
              <w:ind w:left="108" w:right="98"/>
              <w:jc w:val="center"/>
              <w:rPr>
                <w:sz w:val="23"/>
                <w:szCs w:val="23"/>
              </w:rPr>
            </w:pPr>
            <w:r>
              <w:rPr>
                <w:sz w:val="23"/>
                <w:szCs w:val="23"/>
              </w:rPr>
              <w:t>序号</w:t>
            </w:r>
          </w:p>
        </w:tc>
        <w:tc>
          <w:tcPr>
            <w:tcW w:w="1559" w:type="dxa"/>
          </w:tcPr>
          <w:p>
            <w:pPr>
              <w:pStyle w:val="28"/>
              <w:spacing w:before="125"/>
              <w:ind w:left="219"/>
              <w:rPr>
                <w:sz w:val="23"/>
                <w:szCs w:val="23"/>
              </w:rPr>
            </w:pPr>
            <w:r>
              <w:rPr>
                <w:sz w:val="23"/>
                <w:szCs w:val="23"/>
              </w:rPr>
              <w:t>在本项目</w:t>
            </w:r>
          </w:p>
          <w:p>
            <w:pPr>
              <w:pStyle w:val="28"/>
              <w:spacing w:before="4" w:line="620" w:lineRule="atLeast"/>
              <w:ind w:left="639" w:right="207" w:hanging="420"/>
              <w:rPr>
                <w:sz w:val="23"/>
                <w:szCs w:val="23"/>
              </w:rPr>
            </w:pPr>
            <w:r>
              <w:rPr>
                <w:sz w:val="23"/>
                <w:szCs w:val="23"/>
              </w:rPr>
              <w:t>中担任职务</w:t>
            </w:r>
          </w:p>
        </w:tc>
        <w:tc>
          <w:tcPr>
            <w:tcW w:w="851" w:type="dxa"/>
          </w:tcPr>
          <w:p>
            <w:pPr>
              <w:pStyle w:val="28"/>
              <w:spacing w:before="13"/>
              <w:rPr>
                <w:rFonts w:ascii="Microsoft JhengHei"/>
                <w:b/>
                <w:sz w:val="23"/>
                <w:szCs w:val="23"/>
              </w:rPr>
            </w:pPr>
          </w:p>
          <w:p>
            <w:pPr>
              <w:pStyle w:val="28"/>
              <w:ind w:left="145"/>
              <w:rPr>
                <w:sz w:val="23"/>
                <w:szCs w:val="23"/>
              </w:rPr>
            </w:pPr>
            <w:r>
              <w:rPr>
                <w:sz w:val="23"/>
                <w:szCs w:val="23"/>
              </w:rPr>
              <w:t>姓名</w:t>
            </w:r>
          </w:p>
        </w:tc>
        <w:tc>
          <w:tcPr>
            <w:tcW w:w="850" w:type="dxa"/>
          </w:tcPr>
          <w:p>
            <w:pPr>
              <w:pStyle w:val="28"/>
              <w:spacing w:before="13"/>
              <w:rPr>
                <w:rFonts w:ascii="Microsoft JhengHei"/>
                <w:b/>
                <w:sz w:val="23"/>
                <w:szCs w:val="23"/>
              </w:rPr>
            </w:pPr>
          </w:p>
          <w:p>
            <w:pPr>
              <w:pStyle w:val="28"/>
              <w:ind w:left="145"/>
              <w:rPr>
                <w:sz w:val="23"/>
                <w:szCs w:val="23"/>
              </w:rPr>
            </w:pPr>
            <w:r>
              <w:rPr>
                <w:sz w:val="23"/>
                <w:szCs w:val="23"/>
              </w:rPr>
              <w:t>年龄</w:t>
            </w:r>
          </w:p>
        </w:tc>
        <w:tc>
          <w:tcPr>
            <w:tcW w:w="1524" w:type="dxa"/>
          </w:tcPr>
          <w:p>
            <w:pPr>
              <w:pStyle w:val="28"/>
              <w:spacing w:before="13"/>
              <w:rPr>
                <w:rFonts w:ascii="Microsoft JhengHei"/>
                <w:b/>
                <w:sz w:val="23"/>
                <w:szCs w:val="23"/>
              </w:rPr>
            </w:pPr>
          </w:p>
          <w:p>
            <w:pPr>
              <w:pStyle w:val="28"/>
              <w:ind w:left="202"/>
              <w:rPr>
                <w:sz w:val="23"/>
                <w:szCs w:val="23"/>
              </w:rPr>
            </w:pPr>
            <w:r>
              <w:rPr>
                <w:sz w:val="23"/>
                <w:szCs w:val="23"/>
              </w:rPr>
              <w:t>技术职称</w:t>
            </w:r>
          </w:p>
        </w:tc>
        <w:tc>
          <w:tcPr>
            <w:tcW w:w="1453" w:type="dxa"/>
          </w:tcPr>
          <w:p>
            <w:pPr>
              <w:pStyle w:val="28"/>
              <w:spacing w:before="13"/>
              <w:rPr>
                <w:rFonts w:ascii="Microsoft JhengHei"/>
                <w:b/>
                <w:sz w:val="23"/>
                <w:szCs w:val="23"/>
              </w:rPr>
            </w:pPr>
          </w:p>
          <w:p>
            <w:pPr>
              <w:pStyle w:val="28"/>
              <w:ind w:left="166"/>
              <w:rPr>
                <w:sz w:val="23"/>
                <w:szCs w:val="23"/>
              </w:rPr>
            </w:pPr>
            <w:r>
              <w:rPr>
                <w:sz w:val="23"/>
                <w:szCs w:val="23"/>
              </w:rPr>
              <w:t>工作年限</w:t>
            </w:r>
          </w:p>
        </w:tc>
        <w:tc>
          <w:tcPr>
            <w:tcW w:w="992" w:type="dxa"/>
          </w:tcPr>
          <w:p>
            <w:pPr>
              <w:pStyle w:val="28"/>
              <w:spacing w:before="13"/>
              <w:rPr>
                <w:rFonts w:ascii="Microsoft JhengHei"/>
                <w:b/>
                <w:sz w:val="23"/>
                <w:szCs w:val="23"/>
              </w:rPr>
            </w:pPr>
          </w:p>
          <w:p>
            <w:pPr>
              <w:pStyle w:val="28"/>
              <w:ind w:left="216"/>
              <w:rPr>
                <w:sz w:val="23"/>
                <w:szCs w:val="23"/>
              </w:rPr>
            </w:pPr>
            <w:r>
              <w:rPr>
                <w:sz w:val="23"/>
                <w:szCs w:val="23"/>
              </w:rPr>
              <w:t>学历</w:t>
            </w:r>
          </w:p>
        </w:tc>
        <w:tc>
          <w:tcPr>
            <w:tcW w:w="921" w:type="dxa"/>
          </w:tcPr>
          <w:p>
            <w:pPr>
              <w:pStyle w:val="28"/>
              <w:spacing w:before="13"/>
              <w:rPr>
                <w:rFonts w:ascii="Microsoft JhengHei"/>
                <w:b/>
                <w:sz w:val="23"/>
                <w:szCs w:val="23"/>
              </w:rPr>
            </w:pPr>
          </w:p>
          <w:p>
            <w:pPr>
              <w:pStyle w:val="28"/>
              <w:ind w:left="180"/>
              <w:rPr>
                <w:sz w:val="23"/>
                <w:szCs w:val="23"/>
              </w:rPr>
            </w:pPr>
            <w:r>
              <w:rPr>
                <w:sz w:val="23"/>
                <w:szCs w:val="23"/>
              </w:rPr>
              <w:t>专业</w:t>
            </w:r>
          </w:p>
        </w:tc>
        <w:tc>
          <w:tcPr>
            <w:tcW w:w="1206" w:type="dxa"/>
          </w:tcPr>
          <w:p>
            <w:pPr>
              <w:pStyle w:val="28"/>
              <w:spacing w:before="13"/>
              <w:rPr>
                <w:rFonts w:ascii="Microsoft JhengHei"/>
                <w:b/>
                <w:sz w:val="23"/>
                <w:szCs w:val="23"/>
              </w:rPr>
            </w:pPr>
          </w:p>
          <w:p>
            <w:pPr>
              <w:pStyle w:val="28"/>
              <w:spacing w:before="1" w:line="417" w:lineRule="auto"/>
              <w:ind w:left="183" w:right="172"/>
              <w:rPr>
                <w:sz w:val="23"/>
                <w:szCs w:val="23"/>
              </w:rPr>
            </w:pPr>
            <w:r>
              <w:rPr>
                <w:sz w:val="23"/>
                <w:szCs w:val="23"/>
              </w:rPr>
              <w:t>执业资格名称</w:t>
            </w:r>
          </w:p>
        </w:tc>
        <w:tc>
          <w:tcPr>
            <w:tcW w:w="1038" w:type="dxa"/>
          </w:tcPr>
          <w:p>
            <w:pPr>
              <w:pStyle w:val="28"/>
              <w:spacing w:before="125"/>
              <w:ind w:left="238"/>
              <w:rPr>
                <w:sz w:val="23"/>
                <w:szCs w:val="23"/>
              </w:rPr>
            </w:pPr>
            <w:r>
              <w:rPr>
                <w:sz w:val="23"/>
                <w:szCs w:val="23"/>
              </w:rPr>
              <w:t>执业</w:t>
            </w:r>
          </w:p>
          <w:p>
            <w:pPr>
              <w:pStyle w:val="28"/>
              <w:spacing w:before="4" w:line="620" w:lineRule="atLeast"/>
              <w:ind w:left="238" w:right="227"/>
              <w:rPr>
                <w:sz w:val="23"/>
                <w:szCs w:val="23"/>
              </w:rPr>
            </w:pPr>
            <w:r>
              <w:rPr>
                <w:spacing w:val="-9"/>
                <w:sz w:val="23"/>
                <w:szCs w:val="23"/>
              </w:rPr>
              <w:t>资格等级</w:t>
            </w:r>
          </w:p>
        </w:tc>
        <w:tc>
          <w:tcPr>
            <w:tcW w:w="1122" w:type="dxa"/>
          </w:tcPr>
          <w:p>
            <w:pPr>
              <w:pStyle w:val="28"/>
              <w:spacing w:before="13"/>
              <w:rPr>
                <w:rFonts w:ascii="Microsoft JhengHei"/>
                <w:b/>
                <w:sz w:val="23"/>
                <w:szCs w:val="23"/>
              </w:rPr>
            </w:pPr>
          </w:p>
          <w:p>
            <w:pPr>
              <w:pStyle w:val="28"/>
              <w:spacing w:before="1" w:line="417" w:lineRule="auto"/>
              <w:ind w:left="140" w:right="129"/>
              <w:rPr>
                <w:sz w:val="23"/>
                <w:szCs w:val="23"/>
              </w:rPr>
            </w:pPr>
            <w:r>
              <w:rPr>
                <w:sz w:val="23"/>
                <w:szCs w:val="23"/>
              </w:rPr>
              <w:t>执业资格编号</w:t>
            </w:r>
          </w:p>
        </w:tc>
        <w:tc>
          <w:tcPr>
            <w:tcW w:w="1122" w:type="dxa"/>
          </w:tcPr>
          <w:p>
            <w:pPr>
              <w:pStyle w:val="28"/>
              <w:spacing w:before="125"/>
              <w:ind w:left="141"/>
              <w:rPr>
                <w:sz w:val="23"/>
                <w:szCs w:val="23"/>
              </w:rPr>
            </w:pPr>
            <w:r>
              <w:rPr>
                <w:sz w:val="23"/>
                <w:szCs w:val="23"/>
              </w:rPr>
              <w:t>执业资</w:t>
            </w:r>
          </w:p>
          <w:p>
            <w:pPr>
              <w:pStyle w:val="28"/>
              <w:spacing w:before="4" w:line="620" w:lineRule="atLeast"/>
              <w:ind w:left="421" w:right="130" w:hanging="280"/>
              <w:rPr>
                <w:sz w:val="23"/>
                <w:szCs w:val="23"/>
              </w:rPr>
            </w:pPr>
            <w:r>
              <w:rPr>
                <w:sz w:val="23"/>
                <w:szCs w:val="23"/>
              </w:rPr>
              <w:t>格有效期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7" w:type="dxa"/>
          </w:tcPr>
          <w:p>
            <w:pPr>
              <w:pStyle w:val="28"/>
              <w:spacing w:before="131"/>
              <w:ind w:left="9"/>
              <w:jc w:val="center"/>
              <w:rPr>
                <w:rFonts w:ascii="Calibri"/>
                <w:sz w:val="23"/>
                <w:szCs w:val="23"/>
              </w:rPr>
            </w:pPr>
            <w:r>
              <w:rPr>
                <w:rFonts w:ascii="Calibri"/>
                <w:sz w:val="23"/>
                <w:szCs w:val="23"/>
              </w:rPr>
              <w:t>1</w:t>
            </w:r>
          </w:p>
        </w:tc>
        <w:tc>
          <w:tcPr>
            <w:tcW w:w="1559" w:type="dxa"/>
          </w:tcPr>
          <w:p>
            <w:pPr>
              <w:pStyle w:val="28"/>
              <w:rPr>
                <w:rFonts w:ascii="Times New Roman"/>
                <w:sz w:val="23"/>
                <w:szCs w:val="23"/>
              </w:rPr>
            </w:pPr>
          </w:p>
        </w:tc>
        <w:tc>
          <w:tcPr>
            <w:tcW w:w="851" w:type="dxa"/>
          </w:tcPr>
          <w:p>
            <w:pPr>
              <w:pStyle w:val="28"/>
              <w:rPr>
                <w:rFonts w:ascii="Times New Roman"/>
                <w:sz w:val="23"/>
                <w:szCs w:val="23"/>
              </w:rPr>
            </w:pPr>
          </w:p>
        </w:tc>
        <w:tc>
          <w:tcPr>
            <w:tcW w:w="850" w:type="dxa"/>
          </w:tcPr>
          <w:p>
            <w:pPr>
              <w:pStyle w:val="28"/>
              <w:rPr>
                <w:rFonts w:ascii="Times New Roman"/>
                <w:sz w:val="23"/>
                <w:szCs w:val="23"/>
              </w:rPr>
            </w:pPr>
          </w:p>
        </w:tc>
        <w:tc>
          <w:tcPr>
            <w:tcW w:w="1524" w:type="dxa"/>
          </w:tcPr>
          <w:p>
            <w:pPr>
              <w:pStyle w:val="28"/>
              <w:rPr>
                <w:rFonts w:ascii="Times New Roman"/>
                <w:sz w:val="23"/>
                <w:szCs w:val="23"/>
              </w:rPr>
            </w:pPr>
          </w:p>
        </w:tc>
        <w:tc>
          <w:tcPr>
            <w:tcW w:w="1453" w:type="dxa"/>
          </w:tcPr>
          <w:p>
            <w:pPr>
              <w:pStyle w:val="28"/>
              <w:rPr>
                <w:rFonts w:ascii="Times New Roman"/>
                <w:sz w:val="23"/>
                <w:szCs w:val="23"/>
              </w:rPr>
            </w:pPr>
          </w:p>
        </w:tc>
        <w:tc>
          <w:tcPr>
            <w:tcW w:w="992" w:type="dxa"/>
          </w:tcPr>
          <w:p>
            <w:pPr>
              <w:pStyle w:val="28"/>
              <w:rPr>
                <w:rFonts w:ascii="Times New Roman"/>
                <w:sz w:val="23"/>
                <w:szCs w:val="23"/>
              </w:rPr>
            </w:pPr>
          </w:p>
        </w:tc>
        <w:tc>
          <w:tcPr>
            <w:tcW w:w="921" w:type="dxa"/>
          </w:tcPr>
          <w:p>
            <w:pPr>
              <w:pStyle w:val="28"/>
              <w:rPr>
                <w:rFonts w:ascii="Times New Roman"/>
                <w:sz w:val="23"/>
                <w:szCs w:val="23"/>
              </w:rPr>
            </w:pPr>
          </w:p>
        </w:tc>
        <w:tc>
          <w:tcPr>
            <w:tcW w:w="1206" w:type="dxa"/>
          </w:tcPr>
          <w:p>
            <w:pPr>
              <w:pStyle w:val="28"/>
              <w:rPr>
                <w:rFonts w:ascii="Times New Roman"/>
                <w:sz w:val="23"/>
                <w:szCs w:val="23"/>
              </w:rPr>
            </w:pPr>
          </w:p>
        </w:tc>
        <w:tc>
          <w:tcPr>
            <w:tcW w:w="1038" w:type="dxa"/>
          </w:tcPr>
          <w:p>
            <w:pPr>
              <w:pStyle w:val="28"/>
              <w:rPr>
                <w:rFonts w:ascii="Times New Roman"/>
                <w:sz w:val="23"/>
                <w:szCs w:val="23"/>
              </w:rPr>
            </w:pPr>
          </w:p>
        </w:tc>
        <w:tc>
          <w:tcPr>
            <w:tcW w:w="1122" w:type="dxa"/>
          </w:tcPr>
          <w:p>
            <w:pPr>
              <w:pStyle w:val="28"/>
              <w:rPr>
                <w:rFonts w:ascii="Times New Roman"/>
                <w:sz w:val="23"/>
                <w:szCs w:val="23"/>
              </w:rPr>
            </w:pPr>
          </w:p>
        </w:tc>
        <w:tc>
          <w:tcPr>
            <w:tcW w:w="1122"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7" w:type="dxa"/>
          </w:tcPr>
          <w:p>
            <w:pPr>
              <w:pStyle w:val="28"/>
              <w:spacing w:before="131"/>
              <w:ind w:left="9"/>
              <w:jc w:val="center"/>
              <w:rPr>
                <w:rFonts w:ascii="Calibri"/>
                <w:sz w:val="23"/>
                <w:szCs w:val="23"/>
              </w:rPr>
            </w:pPr>
            <w:r>
              <w:rPr>
                <w:rFonts w:ascii="Calibri"/>
                <w:sz w:val="23"/>
                <w:szCs w:val="23"/>
              </w:rPr>
              <w:t>2</w:t>
            </w:r>
          </w:p>
        </w:tc>
        <w:tc>
          <w:tcPr>
            <w:tcW w:w="1559" w:type="dxa"/>
          </w:tcPr>
          <w:p>
            <w:pPr>
              <w:pStyle w:val="28"/>
              <w:rPr>
                <w:rFonts w:ascii="Times New Roman"/>
                <w:sz w:val="23"/>
                <w:szCs w:val="23"/>
              </w:rPr>
            </w:pPr>
          </w:p>
        </w:tc>
        <w:tc>
          <w:tcPr>
            <w:tcW w:w="851" w:type="dxa"/>
          </w:tcPr>
          <w:p>
            <w:pPr>
              <w:pStyle w:val="28"/>
              <w:rPr>
                <w:rFonts w:ascii="Times New Roman"/>
                <w:sz w:val="23"/>
                <w:szCs w:val="23"/>
              </w:rPr>
            </w:pPr>
          </w:p>
        </w:tc>
        <w:tc>
          <w:tcPr>
            <w:tcW w:w="850" w:type="dxa"/>
          </w:tcPr>
          <w:p>
            <w:pPr>
              <w:pStyle w:val="28"/>
              <w:rPr>
                <w:rFonts w:ascii="Times New Roman"/>
                <w:sz w:val="23"/>
                <w:szCs w:val="23"/>
              </w:rPr>
            </w:pPr>
          </w:p>
        </w:tc>
        <w:tc>
          <w:tcPr>
            <w:tcW w:w="1524" w:type="dxa"/>
          </w:tcPr>
          <w:p>
            <w:pPr>
              <w:pStyle w:val="28"/>
              <w:rPr>
                <w:rFonts w:ascii="Times New Roman"/>
                <w:sz w:val="23"/>
                <w:szCs w:val="23"/>
              </w:rPr>
            </w:pPr>
          </w:p>
        </w:tc>
        <w:tc>
          <w:tcPr>
            <w:tcW w:w="1453" w:type="dxa"/>
          </w:tcPr>
          <w:p>
            <w:pPr>
              <w:pStyle w:val="28"/>
              <w:rPr>
                <w:rFonts w:ascii="Times New Roman"/>
                <w:sz w:val="23"/>
                <w:szCs w:val="23"/>
              </w:rPr>
            </w:pPr>
          </w:p>
        </w:tc>
        <w:tc>
          <w:tcPr>
            <w:tcW w:w="992" w:type="dxa"/>
          </w:tcPr>
          <w:p>
            <w:pPr>
              <w:pStyle w:val="28"/>
              <w:rPr>
                <w:rFonts w:ascii="Times New Roman"/>
                <w:sz w:val="23"/>
                <w:szCs w:val="23"/>
              </w:rPr>
            </w:pPr>
          </w:p>
        </w:tc>
        <w:tc>
          <w:tcPr>
            <w:tcW w:w="921" w:type="dxa"/>
          </w:tcPr>
          <w:p>
            <w:pPr>
              <w:pStyle w:val="28"/>
              <w:rPr>
                <w:rFonts w:ascii="Times New Roman"/>
                <w:sz w:val="23"/>
                <w:szCs w:val="23"/>
              </w:rPr>
            </w:pPr>
          </w:p>
        </w:tc>
        <w:tc>
          <w:tcPr>
            <w:tcW w:w="1206" w:type="dxa"/>
          </w:tcPr>
          <w:p>
            <w:pPr>
              <w:pStyle w:val="28"/>
              <w:rPr>
                <w:rFonts w:ascii="Times New Roman"/>
                <w:sz w:val="23"/>
                <w:szCs w:val="23"/>
              </w:rPr>
            </w:pPr>
          </w:p>
        </w:tc>
        <w:tc>
          <w:tcPr>
            <w:tcW w:w="1038" w:type="dxa"/>
          </w:tcPr>
          <w:p>
            <w:pPr>
              <w:pStyle w:val="28"/>
              <w:rPr>
                <w:rFonts w:ascii="Times New Roman"/>
                <w:sz w:val="23"/>
                <w:szCs w:val="23"/>
              </w:rPr>
            </w:pPr>
          </w:p>
        </w:tc>
        <w:tc>
          <w:tcPr>
            <w:tcW w:w="1122" w:type="dxa"/>
          </w:tcPr>
          <w:p>
            <w:pPr>
              <w:pStyle w:val="28"/>
              <w:rPr>
                <w:rFonts w:ascii="Times New Roman"/>
                <w:sz w:val="23"/>
                <w:szCs w:val="23"/>
              </w:rPr>
            </w:pPr>
          </w:p>
        </w:tc>
        <w:tc>
          <w:tcPr>
            <w:tcW w:w="1122"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7" w:type="dxa"/>
          </w:tcPr>
          <w:p>
            <w:pPr>
              <w:pStyle w:val="28"/>
              <w:spacing w:before="131"/>
              <w:ind w:left="9"/>
              <w:jc w:val="center"/>
              <w:rPr>
                <w:rFonts w:ascii="Calibri"/>
                <w:sz w:val="23"/>
                <w:szCs w:val="23"/>
              </w:rPr>
            </w:pPr>
            <w:r>
              <w:rPr>
                <w:rFonts w:ascii="Calibri"/>
                <w:sz w:val="23"/>
                <w:szCs w:val="23"/>
              </w:rPr>
              <w:t>3</w:t>
            </w:r>
          </w:p>
        </w:tc>
        <w:tc>
          <w:tcPr>
            <w:tcW w:w="1559" w:type="dxa"/>
          </w:tcPr>
          <w:p>
            <w:pPr>
              <w:pStyle w:val="28"/>
              <w:rPr>
                <w:rFonts w:ascii="Times New Roman"/>
                <w:sz w:val="23"/>
                <w:szCs w:val="23"/>
              </w:rPr>
            </w:pPr>
          </w:p>
        </w:tc>
        <w:tc>
          <w:tcPr>
            <w:tcW w:w="851" w:type="dxa"/>
          </w:tcPr>
          <w:p>
            <w:pPr>
              <w:pStyle w:val="28"/>
              <w:rPr>
                <w:rFonts w:ascii="Times New Roman"/>
                <w:sz w:val="23"/>
                <w:szCs w:val="23"/>
              </w:rPr>
            </w:pPr>
          </w:p>
        </w:tc>
        <w:tc>
          <w:tcPr>
            <w:tcW w:w="850" w:type="dxa"/>
          </w:tcPr>
          <w:p>
            <w:pPr>
              <w:pStyle w:val="28"/>
              <w:rPr>
                <w:rFonts w:ascii="Times New Roman"/>
                <w:sz w:val="23"/>
                <w:szCs w:val="23"/>
              </w:rPr>
            </w:pPr>
          </w:p>
        </w:tc>
        <w:tc>
          <w:tcPr>
            <w:tcW w:w="1524" w:type="dxa"/>
          </w:tcPr>
          <w:p>
            <w:pPr>
              <w:pStyle w:val="28"/>
              <w:rPr>
                <w:rFonts w:ascii="Times New Roman"/>
                <w:sz w:val="23"/>
                <w:szCs w:val="23"/>
              </w:rPr>
            </w:pPr>
          </w:p>
        </w:tc>
        <w:tc>
          <w:tcPr>
            <w:tcW w:w="1453" w:type="dxa"/>
          </w:tcPr>
          <w:p>
            <w:pPr>
              <w:pStyle w:val="28"/>
              <w:rPr>
                <w:rFonts w:ascii="Times New Roman"/>
                <w:sz w:val="23"/>
                <w:szCs w:val="23"/>
              </w:rPr>
            </w:pPr>
          </w:p>
        </w:tc>
        <w:tc>
          <w:tcPr>
            <w:tcW w:w="992" w:type="dxa"/>
          </w:tcPr>
          <w:p>
            <w:pPr>
              <w:pStyle w:val="28"/>
              <w:rPr>
                <w:rFonts w:ascii="Times New Roman"/>
                <w:sz w:val="23"/>
                <w:szCs w:val="23"/>
              </w:rPr>
            </w:pPr>
          </w:p>
        </w:tc>
        <w:tc>
          <w:tcPr>
            <w:tcW w:w="921" w:type="dxa"/>
          </w:tcPr>
          <w:p>
            <w:pPr>
              <w:pStyle w:val="28"/>
              <w:rPr>
                <w:rFonts w:ascii="Times New Roman"/>
                <w:sz w:val="23"/>
                <w:szCs w:val="23"/>
              </w:rPr>
            </w:pPr>
          </w:p>
        </w:tc>
        <w:tc>
          <w:tcPr>
            <w:tcW w:w="1206" w:type="dxa"/>
          </w:tcPr>
          <w:p>
            <w:pPr>
              <w:pStyle w:val="28"/>
              <w:rPr>
                <w:rFonts w:ascii="Times New Roman"/>
                <w:sz w:val="23"/>
                <w:szCs w:val="23"/>
              </w:rPr>
            </w:pPr>
          </w:p>
        </w:tc>
        <w:tc>
          <w:tcPr>
            <w:tcW w:w="1038" w:type="dxa"/>
          </w:tcPr>
          <w:p>
            <w:pPr>
              <w:pStyle w:val="28"/>
              <w:rPr>
                <w:rFonts w:ascii="Times New Roman"/>
                <w:sz w:val="23"/>
                <w:szCs w:val="23"/>
              </w:rPr>
            </w:pPr>
          </w:p>
        </w:tc>
        <w:tc>
          <w:tcPr>
            <w:tcW w:w="1122" w:type="dxa"/>
          </w:tcPr>
          <w:p>
            <w:pPr>
              <w:pStyle w:val="28"/>
              <w:rPr>
                <w:rFonts w:ascii="Times New Roman"/>
                <w:sz w:val="23"/>
                <w:szCs w:val="23"/>
              </w:rPr>
            </w:pPr>
          </w:p>
        </w:tc>
        <w:tc>
          <w:tcPr>
            <w:tcW w:w="1122"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7" w:type="dxa"/>
          </w:tcPr>
          <w:p>
            <w:pPr>
              <w:pStyle w:val="28"/>
              <w:spacing w:before="131"/>
              <w:ind w:left="9"/>
              <w:jc w:val="center"/>
              <w:rPr>
                <w:rFonts w:ascii="Calibri"/>
                <w:sz w:val="23"/>
                <w:szCs w:val="23"/>
              </w:rPr>
            </w:pPr>
            <w:r>
              <w:rPr>
                <w:rFonts w:ascii="Calibri"/>
                <w:sz w:val="23"/>
                <w:szCs w:val="23"/>
              </w:rPr>
              <w:t>4</w:t>
            </w:r>
          </w:p>
        </w:tc>
        <w:tc>
          <w:tcPr>
            <w:tcW w:w="1559" w:type="dxa"/>
          </w:tcPr>
          <w:p>
            <w:pPr>
              <w:pStyle w:val="28"/>
              <w:rPr>
                <w:rFonts w:ascii="Times New Roman"/>
                <w:sz w:val="23"/>
                <w:szCs w:val="23"/>
              </w:rPr>
            </w:pPr>
          </w:p>
        </w:tc>
        <w:tc>
          <w:tcPr>
            <w:tcW w:w="851" w:type="dxa"/>
          </w:tcPr>
          <w:p>
            <w:pPr>
              <w:pStyle w:val="28"/>
              <w:rPr>
                <w:rFonts w:ascii="Times New Roman"/>
                <w:sz w:val="23"/>
                <w:szCs w:val="23"/>
              </w:rPr>
            </w:pPr>
          </w:p>
        </w:tc>
        <w:tc>
          <w:tcPr>
            <w:tcW w:w="850" w:type="dxa"/>
          </w:tcPr>
          <w:p>
            <w:pPr>
              <w:pStyle w:val="28"/>
              <w:rPr>
                <w:rFonts w:ascii="Times New Roman"/>
                <w:sz w:val="23"/>
                <w:szCs w:val="23"/>
              </w:rPr>
            </w:pPr>
          </w:p>
        </w:tc>
        <w:tc>
          <w:tcPr>
            <w:tcW w:w="1524" w:type="dxa"/>
          </w:tcPr>
          <w:p>
            <w:pPr>
              <w:pStyle w:val="28"/>
              <w:rPr>
                <w:rFonts w:ascii="Times New Roman"/>
                <w:sz w:val="23"/>
                <w:szCs w:val="23"/>
              </w:rPr>
            </w:pPr>
          </w:p>
        </w:tc>
        <w:tc>
          <w:tcPr>
            <w:tcW w:w="1453" w:type="dxa"/>
          </w:tcPr>
          <w:p>
            <w:pPr>
              <w:pStyle w:val="28"/>
              <w:rPr>
                <w:rFonts w:ascii="Times New Roman"/>
                <w:sz w:val="23"/>
                <w:szCs w:val="23"/>
              </w:rPr>
            </w:pPr>
          </w:p>
        </w:tc>
        <w:tc>
          <w:tcPr>
            <w:tcW w:w="992" w:type="dxa"/>
          </w:tcPr>
          <w:p>
            <w:pPr>
              <w:pStyle w:val="28"/>
              <w:rPr>
                <w:rFonts w:ascii="Times New Roman"/>
                <w:sz w:val="23"/>
                <w:szCs w:val="23"/>
              </w:rPr>
            </w:pPr>
          </w:p>
        </w:tc>
        <w:tc>
          <w:tcPr>
            <w:tcW w:w="921" w:type="dxa"/>
          </w:tcPr>
          <w:p>
            <w:pPr>
              <w:pStyle w:val="28"/>
              <w:rPr>
                <w:rFonts w:ascii="Times New Roman"/>
                <w:sz w:val="23"/>
                <w:szCs w:val="23"/>
              </w:rPr>
            </w:pPr>
          </w:p>
        </w:tc>
        <w:tc>
          <w:tcPr>
            <w:tcW w:w="1206" w:type="dxa"/>
          </w:tcPr>
          <w:p>
            <w:pPr>
              <w:pStyle w:val="28"/>
              <w:rPr>
                <w:rFonts w:ascii="Times New Roman"/>
                <w:sz w:val="23"/>
                <w:szCs w:val="23"/>
              </w:rPr>
            </w:pPr>
          </w:p>
        </w:tc>
        <w:tc>
          <w:tcPr>
            <w:tcW w:w="1038" w:type="dxa"/>
          </w:tcPr>
          <w:p>
            <w:pPr>
              <w:pStyle w:val="28"/>
              <w:rPr>
                <w:rFonts w:ascii="Times New Roman"/>
                <w:sz w:val="23"/>
                <w:szCs w:val="23"/>
              </w:rPr>
            </w:pPr>
          </w:p>
        </w:tc>
        <w:tc>
          <w:tcPr>
            <w:tcW w:w="1122" w:type="dxa"/>
          </w:tcPr>
          <w:p>
            <w:pPr>
              <w:pStyle w:val="28"/>
              <w:rPr>
                <w:rFonts w:ascii="Times New Roman"/>
                <w:sz w:val="23"/>
                <w:szCs w:val="23"/>
              </w:rPr>
            </w:pPr>
          </w:p>
        </w:tc>
        <w:tc>
          <w:tcPr>
            <w:tcW w:w="1122"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7" w:type="dxa"/>
          </w:tcPr>
          <w:p>
            <w:pPr>
              <w:pStyle w:val="28"/>
              <w:spacing w:before="131"/>
              <w:ind w:left="9"/>
              <w:jc w:val="center"/>
              <w:rPr>
                <w:rFonts w:ascii="Calibri"/>
                <w:sz w:val="23"/>
                <w:szCs w:val="23"/>
              </w:rPr>
            </w:pPr>
            <w:r>
              <w:rPr>
                <w:rFonts w:ascii="Calibri"/>
                <w:sz w:val="23"/>
                <w:szCs w:val="23"/>
              </w:rPr>
              <w:t>5</w:t>
            </w:r>
          </w:p>
        </w:tc>
        <w:tc>
          <w:tcPr>
            <w:tcW w:w="1559" w:type="dxa"/>
          </w:tcPr>
          <w:p>
            <w:pPr>
              <w:pStyle w:val="28"/>
              <w:rPr>
                <w:rFonts w:ascii="Times New Roman"/>
                <w:sz w:val="23"/>
                <w:szCs w:val="23"/>
              </w:rPr>
            </w:pPr>
          </w:p>
        </w:tc>
        <w:tc>
          <w:tcPr>
            <w:tcW w:w="851" w:type="dxa"/>
          </w:tcPr>
          <w:p>
            <w:pPr>
              <w:pStyle w:val="28"/>
              <w:rPr>
                <w:rFonts w:ascii="Times New Roman"/>
                <w:sz w:val="23"/>
                <w:szCs w:val="23"/>
              </w:rPr>
            </w:pPr>
          </w:p>
        </w:tc>
        <w:tc>
          <w:tcPr>
            <w:tcW w:w="850" w:type="dxa"/>
          </w:tcPr>
          <w:p>
            <w:pPr>
              <w:pStyle w:val="28"/>
              <w:rPr>
                <w:rFonts w:ascii="Times New Roman"/>
                <w:sz w:val="23"/>
                <w:szCs w:val="23"/>
              </w:rPr>
            </w:pPr>
          </w:p>
        </w:tc>
        <w:tc>
          <w:tcPr>
            <w:tcW w:w="1524" w:type="dxa"/>
          </w:tcPr>
          <w:p>
            <w:pPr>
              <w:pStyle w:val="28"/>
              <w:rPr>
                <w:rFonts w:ascii="Times New Roman"/>
                <w:sz w:val="23"/>
                <w:szCs w:val="23"/>
              </w:rPr>
            </w:pPr>
          </w:p>
        </w:tc>
        <w:tc>
          <w:tcPr>
            <w:tcW w:w="1453" w:type="dxa"/>
          </w:tcPr>
          <w:p>
            <w:pPr>
              <w:pStyle w:val="28"/>
              <w:rPr>
                <w:rFonts w:ascii="Times New Roman"/>
                <w:sz w:val="23"/>
                <w:szCs w:val="23"/>
              </w:rPr>
            </w:pPr>
          </w:p>
        </w:tc>
        <w:tc>
          <w:tcPr>
            <w:tcW w:w="992" w:type="dxa"/>
          </w:tcPr>
          <w:p>
            <w:pPr>
              <w:pStyle w:val="28"/>
              <w:rPr>
                <w:rFonts w:ascii="Times New Roman"/>
                <w:sz w:val="23"/>
                <w:szCs w:val="23"/>
              </w:rPr>
            </w:pPr>
          </w:p>
        </w:tc>
        <w:tc>
          <w:tcPr>
            <w:tcW w:w="921" w:type="dxa"/>
          </w:tcPr>
          <w:p>
            <w:pPr>
              <w:pStyle w:val="28"/>
              <w:rPr>
                <w:rFonts w:ascii="Times New Roman"/>
                <w:sz w:val="23"/>
                <w:szCs w:val="23"/>
              </w:rPr>
            </w:pPr>
          </w:p>
        </w:tc>
        <w:tc>
          <w:tcPr>
            <w:tcW w:w="1206" w:type="dxa"/>
          </w:tcPr>
          <w:p>
            <w:pPr>
              <w:pStyle w:val="28"/>
              <w:rPr>
                <w:rFonts w:ascii="Times New Roman"/>
                <w:sz w:val="23"/>
                <w:szCs w:val="23"/>
              </w:rPr>
            </w:pPr>
          </w:p>
        </w:tc>
        <w:tc>
          <w:tcPr>
            <w:tcW w:w="1038" w:type="dxa"/>
          </w:tcPr>
          <w:p>
            <w:pPr>
              <w:pStyle w:val="28"/>
              <w:rPr>
                <w:rFonts w:ascii="Times New Roman"/>
                <w:sz w:val="23"/>
                <w:szCs w:val="23"/>
              </w:rPr>
            </w:pPr>
          </w:p>
        </w:tc>
        <w:tc>
          <w:tcPr>
            <w:tcW w:w="1122" w:type="dxa"/>
          </w:tcPr>
          <w:p>
            <w:pPr>
              <w:pStyle w:val="28"/>
              <w:rPr>
                <w:rFonts w:ascii="Times New Roman"/>
                <w:sz w:val="23"/>
                <w:szCs w:val="23"/>
              </w:rPr>
            </w:pPr>
          </w:p>
        </w:tc>
        <w:tc>
          <w:tcPr>
            <w:tcW w:w="1122"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7" w:type="dxa"/>
          </w:tcPr>
          <w:p>
            <w:pPr>
              <w:pStyle w:val="28"/>
              <w:spacing w:before="131"/>
              <w:ind w:left="9"/>
              <w:jc w:val="center"/>
              <w:rPr>
                <w:rFonts w:ascii="Calibri"/>
                <w:sz w:val="23"/>
                <w:szCs w:val="23"/>
              </w:rPr>
            </w:pPr>
            <w:r>
              <w:rPr>
                <w:rFonts w:ascii="Calibri"/>
                <w:sz w:val="23"/>
                <w:szCs w:val="23"/>
              </w:rPr>
              <w:t>6</w:t>
            </w:r>
          </w:p>
        </w:tc>
        <w:tc>
          <w:tcPr>
            <w:tcW w:w="1559" w:type="dxa"/>
          </w:tcPr>
          <w:p>
            <w:pPr>
              <w:pStyle w:val="28"/>
              <w:rPr>
                <w:rFonts w:ascii="Times New Roman"/>
                <w:sz w:val="23"/>
                <w:szCs w:val="23"/>
              </w:rPr>
            </w:pPr>
          </w:p>
        </w:tc>
        <w:tc>
          <w:tcPr>
            <w:tcW w:w="851" w:type="dxa"/>
          </w:tcPr>
          <w:p>
            <w:pPr>
              <w:pStyle w:val="28"/>
              <w:rPr>
                <w:rFonts w:ascii="Times New Roman"/>
                <w:sz w:val="23"/>
                <w:szCs w:val="23"/>
              </w:rPr>
            </w:pPr>
          </w:p>
        </w:tc>
        <w:tc>
          <w:tcPr>
            <w:tcW w:w="850" w:type="dxa"/>
          </w:tcPr>
          <w:p>
            <w:pPr>
              <w:pStyle w:val="28"/>
              <w:rPr>
                <w:rFonts w:ascii="Times New Roman"/>
                <w:sz w:val="23"/>
                <w:szCs w:val="23"/>
              </w:rPr>
            </w:pPr>
          </w:p>
        </w:tc>
        <w:tc>
          <w:tcPr>
            <w:tcW w:w="1524" w:type="dxa"/>
          </w:tcPr>
          <w:p>
            <w:pPr>
              <w:pStyle w:val="28"/>
              <w:rPr>
                <w:rFonts w:ascii="Times New Roman"/>
                <w:sz w:val="23"/>
                <w:szCs w:val="23"/>
              </w:rPr>
            </w:pPr>
          </w:p>
        </w:tc>
        <w:tc>
          <w:tcPr>
            <w:tcW w:w="1453" w:type="dxa"/>
          </w:tcPr>
          <w:p>
            <w:pPr>
              <w:pStyle w:val="28"/>
              <w:rPr>
                <w:rFonts w:ascii="Times New Roman"/>
                <w:sz w:val="23"/>
                <w:szCs w:val="23"/>
              </w:rPr>
            </w:pPr>
          </w:p>
        </w:tc>
        <w:tc>
          <w:tcPr>
            <w:tcW w:w="992" w:type="dxa"/>
          </w:tcPr>
          <w:p>
            <w:pPr>
              <w:pStyle w:val="28"/>
              <w:rPr>
                <w:rFonts w:ascii="Times New Roman"/>
                <w:sz w:val="23"/>
                <w:szCs w:val="23"/>
              </w:rPr>
            </w:pPr>
          </w:p>
        </w:tc>
        <w:tc>
          <w:tcPr>
            <w:tcW w:w="921" w:type="dxa"/>
          </w:tcPr>
          <w:p>
            <w:pPr>
              <w:pStyle w:val="28"/>
              <w:rPr>
                <w:rFonts w:ascii="Times New Roman"/>
                <w:sz w:val="23"/>
                <w:szCs w:val="23"/>
              </w:rPr>
            </w:pPr>
          </w:p>
        </w:tc>
        <w:tc>
          <w:tcPr>
            <w:tcW w:w="1206" w:type="dxa"/>
          </w:tcPr>
          <w:p>
            <w:pPr>
              <w:pStyle w:val="28"/>
              <w:rPr>
                <w:rFonts w:ascii="Times New Roman"/>
                <w:sz w:val="23"/>
                <w:szCs w:val="23"/>
              </w:rPr>
            </w:pPr>
          </w:p>
        </w:tc>
        <w:tc>
          <w:tcPr>
            <w:tcW w:w="1038" w:type="dxa"/>
          </w:tcPr>
          <w:p>
            <w:pPr>
              <w:pStyle w:val="28"/>
              <w:rPr>
                <w:rFonts w:ascii="Times New Roman"/>
                <w:sz w:val="23"/>
                <w:szCs w:val="23"/>
              </w:rPr>
            </w:pPr>
          </w:p>
        </w:tc>
        <w:tc>
          <w:tcPr>
            <w:tcW w:w="1122" w:type="dxa"/>
          </w:tcPr>
          <w:p>
            <w:pPr>
              <w:pStyle w:val="28"/>
              <w:rPr>
                <w:rFonts w:ascii="Times New Roman"/>
                <w:sz w:val="23"/>
                <w:szCs w:val="23"/>
              </w:rPr>
            </w:pPr>
          </w:p>
        </w:tc>
        <w:tc>
          <w:tcPr>
            <w:tcW w:w="1122"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7" w:type="dxa"/>
          </w:tcPr>
          <w:p>
            <w:pPr>
              <w:pStyle w:val="28"/>
              <w:spacing w:before="131"/>
              <w:ind w:left="9"/>
              <w:jc w:val="center"/>
              <w:rPr>
                <w:rFonts w:ascii="Calibri"/>
                <w:sz w:val="23"/>
                <w:szCs w:val="23"/>
              </w:rPr>
            </w:pPr>
            <w:r>
              <w:rPr>
                <w:rFonts w:ascii="Calibri"/>
                <w:sz w:val="23"/>
                <w:szCs w:val="23"/>
              </w:rPr>
              <w:t>7</w:t>
            </w:r>
          </w:p>
        </w:tc>
        <w:tc>
          <w:tcPr>
            <w:tcW w:w="1559" w:type="dxa"/>
          </w:tcPr>
          <w:p>
            <w:pPr>
              <w:pStyle w:val="28"/>
              <w:rPr>
                <w:rFonts w:ascii="Times New Roman"/>
                <w:sz w:val="23"/>
                <w:szCs w:val="23"/>
              </w:rPr>
            </w:pPr>
          </w:p>
        </w:tc>
        <w:tc>
          <w:tcPr>
            <w:tcW w:w="851" w:type="dxa"/>
          </w:tcPr>
          <w:p>
            <w:pPr>
              <w:pStyle w:val="28"/>
              <w:rPr>
                <w:rFonts w:ascii="Times New Roman"/>
                <w:sz w:val="23"/>
                <w:szCs w:val="23"/>
              </w:rPr>
            </w:pPr>
          </w:p>
        </w:tc>
        <w:tc>
          <w:tcPr>
            <w:tcW w:w="850" w:type="dxa"/>
          </w:tcPr>
          <w:p>
            <w:pPr>
              <w:pStyle w:val="28"/>
              <w:rPr>
                <w:rFonts w:ascii="Times New Roman"/>
                <w:sz w:val="23"/>
                <w:szCs w:val="23"/>
              </w:rPr>
            </w:pPr>
          </w:p>
        </w:tc>
        <w:tc>
          <w:tcPr>
            <w:tcW w:w="1524" w:type="dxa"/>
          </w:tcPr>
          <w:p>
            <w:pPr>
              <w:pStyle w:val="28"/>
              <w:rPr>
                <w:rFonts w:ascii="Times New Roman"/>
                <w:sz w:val="23"/>
                <w:szCs w:val="23"/>
              </w:rPr>
            </w:pPr>
          </w:p>
        </w:tc>
        <w:tc>
          <w:tcPr>
            <w:tcW w:w="1453" w:type="dxa"/>
          </w:tcPr>
          <w:p>
            <w:pPr>
              <w:pStyle w:val="28"/>
              <w:rPr>
                <w:rFonts w:ascii="Times New Roman"/>
                <w:sz w:val="23"/>
                <w:szCs w:val="23"/>
              </w:rPr>
            </w:pPr>
          </w:p>
        </w:tc>
        <w:tc>
          <w:tcPr>
            <w:tcW w:w="992" w:type="dxa"/>
          </w:tcPr>
          <w:p>
            <w:pPr>
              <w:pStyle w:val="28"/>
              <w:rPr>
                <w:rFonts w:ascii="Times New Roman"/>
                <w:sz w:val="23"/>
                <w:szCs w:val="23"/>
              </w:rPr>
            </w:pPr>
          </w:p>
        </w:tc>
        <w:tc>
          <w:tcPr>
            <w:tcW w:w="921" w:type="dxa"/>
          </w:tcPr>
          <w:p>
            <w:pPr>
              <w:pStyle w:val="28"/>
              <w:rPr>
                <w:rFonts w:ascii="Times New Roman"/>
                <w:sz w:val="23"/>
                <w:szCs w:val="23"/>
              </w:rPr>
            </w:pPr>
          </w:p>
        </w:tc>
        <w:tc>
          <w:tcPr>
            <w:tcW w:w="1206" w:type="dxa"/>
          </w:tcPr>
          <w:p>
            <w:pPr>
              <w:pStyle w:val="28"/>
              <w:rPr>
                <w:rFonts w:ascii="Times New Roman"/>
                <w:sz w:val="23"/>
                <w:szCs w:val="23"/>
              </w:rPr>
            </w:pPr>
          </w:p>
        </w:tc>
        <w:tc>
          <w:tcPr>
            <w:tcW w:w="1038" w:type="dxa"/>
          </w:tcPr>
          <w:p>
            <w:pPr>
              <w:pStyle w:val="28"/>
              <w:rPr>
                <w:rFonts w:ascii="Times New Roman"/>
                <w:sz w:val="23"/>
                <w:szCs w:val="23"/>
              </w:rPr>
            </w:pPr>
          </w:p>
        </w:tc>
        <w:tc>
          <w:tcPr>
            <w:tcW w:w="1122" w:type="dxa"/>
          </w:tcPr>
          <w:p>
            <w:pPr>
              <w:pStyle w:val="28"/>
              <w:rPr>
                <w:rFonts w:ascii="Times New Roman"/>
                <w:sz w:val="23"/>
                <w:szCs w:val="23"/>
              </w:rPr>
            </w:pPr>
          </w:p>
        </w:tc>
        <w:tc>
          <w:tcPr>
            <w:tcW w:w="1122"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7" w:type="dxa"/>
          </w:tcPr>
          <w:p>
            <w:pPr>
              <w:pStyle w:val="28"/>
              <w:spacing w:before="131"/>
              <w:ind w:left="9"/>
              <w:jc w:val="center"/>
              <w:rPr>
                <w:rFonts w:ascii="Calibri"/>
                <w:sz w:val="23"/>
                <w:szCs w:val="23"/>
              </w:rPr>
            </w:pPr>
            <w:r>
              <w:rPr>
                <w:rFonts w:ascii="Calibri"/>
                <w:sz w:val="23"/>
                <w:szCs w:val="23"/>
              </w:rPr>
              <w:t>8</w:t>
            </w:r>
          </w:p>
        </w:tc>
        <w:tc>
          <w:tcPr>
            <w:tcW w:w="1559" w:type="dxa"/>
          </w:tcPr>
          <w:p>
            <w:pPr>
              <w:pStyle w:val="28"/>
              <w:rPr>
                <w:rFonts w:ascii="Times New Roman"/>
                <w:sz w:val="23"/>
                <w:szCs w:val="23"/>
              </w:rPr>
            </w:pPr>
          </w:p>
        </w:tc>
        <w:tc>
          <w:tcPr>
            <w:tcW w:w="851" w:type="dxa"/>
          </w:tcPr>
          <w:p>
            <w:pPr>
              <w:pStyle w:val="28"/>
              <w:rPr>
                <w:rFonts w:ascii="Times New Roman"/>
                <w:sz w:val="23"/>
                <w:szCs w:val="23"/>
              </w:rPr>
            </w:pPr>
          </w:p>
        </w:tc>
        <w:tc>
          <w:tcPr>
            <w:tcW w:w="850" w:type="dxa"/>
          </w:tcPr>
          <w:p>
            <w:pPr>
              <w:pStyle w:val="28"/>
              <w:rPr>
                <w:rFonts w:ascii="Times New Roman"/>
                <w:sz w:val="23"/>
                <w:szCs w:val="23"/>
              </w:rPr>
            </w:pPr>
          </w:p>
        </w:tc>
        <w:tc>
          <w:tcPr>
            <w:tcW w:w="1524" w:type="dxa"/>
          </w:tcPr>
          <w:p>
            <w:pPr>
              <w:pStyle w:val="28"/>
              <w:rPr>
                <w:rFonts w:ascii="Times New Roman"/>
                <w:sz w:val="23"/>
                <w:szCs w:val="23"/>
              </w:rPr>
            </w:pPr>
          </w:p>
        </w:tc>
        <w:tc>
          <w:tcPr>
            <w:tcW w:w="1453" w:type="dxa"/>
          </w:tcPr>
          <w:p>
            <w:pPr>
              <w:pStyle w:val="28"/>
              <w:rPr>
                <w:rFonts w:ascii="Times New Roman"/>
                <w:sz w:val="23"/>
                <w:szCs w:val="23"/>
              </w:rPr>
            </w:pPr>
          </w:p>
        </w:tc>
        <w:tc>
          <w:tcPr>
            <w:tcW w:w="992" w:type="dxa"/>
          </w:tcPr>
          <w:p>
            <w:pPr>
              <w:pStyle w:val="28"/>
              <w:rPr>
                <w:rFonts w:ascii="Times New Roman"/>
                <w:sz w:val="23"/>
                <w:szCs w:val="23"/>
              </w:rPr>
            </w:pPr>
          </w:p>
        </w:tc>
        <w:tc>
          <w:tcPr>
            <w:tcW w:w="921" w:type="dxa"/>
          </w:tcPr>
          <w:p>
            <w:pPr>
              <w:pStyle w:val="28"/>
              <w:rPr>
                <w:rFonts w:ascii="Times New Roman"/>
                <w:sz w:val="23"/>
                <w:szCs w:val="23"/>
              </w:rPr>
            </w:pPr>
          </w:p>
        </w:tc>
        <w:tc>
          <w:tcPr>
            <w:tcW w:w="1206" w:type="dxa"/>
          </w:tcPr>
          <w:p>
            <w:pPr>
              <w:pStyle w:val="28"/>
              <w:rPr>
                <w:rFonts w:ascii="Times New Roman"/>
                <w:sz w:val="23"/>
                <w:szCs w:val="23"/>
              </w:rPr>
            </w:pPr>
          </w:p>
        </w:tc>
        <w:tc>
          <w:tcPr>
            <w:tcW w:w="1038" w:type="dxa"/>
          </w:tcPr>
          <w:p>
            <w:pPr>
              <w:pStyle w:val="28"/>
              <w:rPr>
                <w:rFonts w:ascii="Times New Roman"/>
                <w:sz w:val="23"/>
                <w:szCs w:val="23"/>
              </w:rPr>
            </w:pPr>
          </w:p>
        </w:tc>
        <w:tc>
          <w:tcPr>
            <w:tcW w:w="1122" w:type="dxa"/>
          </w:tcPr>
          <w:p>
            <w:pPr>
              <w:pStyle w:val="28"/>
              <w:rPr>
                <w:rFonts w:ascii="Times New Roman"/>
                <w:sz w:val="23"/>
                <w:szCs w:val="23"/>
              </w:rPr>
            </w:pPr>
          </w:p>
        </w:tc>
        <w:tc>
          <w:tcPr>
            <w:tcW w:w="1122"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7" w:type="dxa"/>
          </w:tcPr>
          <w:p>
            <w:pPr>
              <w:pStyle w:val="28"/>
              <w:spacing w:before="131"/>
              <w:ind w:left="9"/>
              <w:jc w:val="center"/>
              <w:rPr>
                <w:rFonts w:ascii="Calibri"/>
                <w:sz w:val="23"/>
                <w:szCs w:val="23"/>
              </w:rPr>
            </w:pPr>
            <w:r>
              <w:rPr>
                <w:rFonts w:ascii="Calibri"/>
                <w:sz w:val="23"/>
                <w:szCs w:val="23"/>
              </w:rPr>
              <w:t>9</w:t>
            </w:r>
          </w:p>
        </w:tc>
        <w:tc>
          <w:tcPr>
            <w:tcW w:w="1559" w:type="dxa"/>
          </w:tcPr>
          <w:p>
            <w:pPr>
              <w:pStyle w:val="28"/>
              <w:rPr>
                <w:rFonts w:ascii="Times New Roman"/>
                <w:sz w:val="23"/>
                <w:szCs w:val="23"/>
              </w:rPr>
            </w:pPr>
          </w:p>
        </w:tc>
        <w:tc>
          <w:tcPr>
            <w:tcW w:w="851" w:type="dxa"/>
          </w:tcPr>
          <w:p>
            <w:pPr>
              <w:pStyle w:val="28"/>
              <w:rPr>
                <w:rFonts w:ascii="Times New Roman"/>
                <w:sz w:val="23"/>
                <w:szCs w:val="23"/>
              </w:rPr>
            </w:pPr>
          </w:p>
        </w:tc>
        <w:tc>
          <w:tcPr>
            <w:tcW w:w="850" w:type="dxa"/>
          </w:tcPr>
          <w:p>
            <w:pPr>
              <w:pStyle w:val="28"/>
              <w:rPr>
                <w:rFonts w:ascii="Times New Roman"/>
                <w:sz w:val="23"/>
                <w:szCs w:val="23"/>
              </w:rPr>
            </w:pPr>
          </w:p>
        </w:tc>
        <w:tc>
          <w:tcPr>
            <w:tcW w:w="1524" w:type="dxa"/>
          </w:tcPr>
          <w:p>
            <w:pPr>
              <w:pStyle w:val="28"/>
              <w:rPr>
                <w:rFonts w:ascii="Times New Roman"/>
                <w:sz w:val="23"/>
                <w:szCs w:val="23"/>
              </w:rPr>
            </w:pPr>
          </w:p>
        </w:tc>
        <w:tc>
          <w:tcPr>
            <w:tcW w:w="1453" w:type="dxa"/>
          </w:tcPr>
          <w:p>
            <w:pPr>
              <w:pStyle w:val="28"/>
              <w:rPr>
                <w:rFonts w:ascii="Times New Roman"/>
                <w:sz w:val="23"/>
                <w:szCs w:val="23"/>
              </w:rPr>
            </w:pPr>
          </w:p>
        </w:tc>
        <w:tc>
          <w:tcPr>
            <w:tcW w:w="992" w:type="dxa"/>
          </w:tcPr>
          <w:p>
            <w:pPr>
              <w:pStyle w:val="28"/>
              <w:rPr>
                <w:rFonts w:ascii="Times New Roman"/>
                <w:sz w:val="23"/>
                <w:szCs w:val="23"/>
              </w:rPr>
            </w:pPr>
          </w:p>
        </w:tc>
        <w:tc>
          <w:tcPr>
            <w:tcW w:w="921" w:type="dxa"/>
          </w:tcPr>
          <w:p>
            <w:pPr>
              <w:pStyle w:val="28"/>
              <w:rPr>
                <w:rFonts w:ascii="Times New Roman"/>
                <w:sz w:val="23"/>
                <w:szCs w:val="23"/>
              </w:rPr>
            </w:pPr>
          </w:p>
        </w:tc>
        <w:tc>
          <w:tcPr>
            <w:tcW w:w="1206" w:type="dxa"/>
          </w:tcPr>
          <w:p>
            <w:pPr>
              <w:pStyle w:val="28"/>
              <w:rPr>
                <w:rFonts w:ascii="Times New Roman"/>
                <w:sz w:val="23"/>
                <w:szCs w:val="23"/>
              </w:rPr>
            </w:pPr>
          </w:p>
        </w:tc>
        <w:tc>
          <w:tcPr>
            <w:tcW w:w="1038" w:type="dxa"/>
          </w:tcPr>
          <w:p>
            <w:pPr>
              <w:pStyle w:val="28"/>
              <w:rPr>
                <w:rFonts w:ascii="Times New Roman"/>
                <w:sz w:val="23"/>
                <w:szCs w:val="23"/>
              </w:rPr>
            </w:pPr>
          </w:p>
        </w:tc>
        <w:tc>
          <w:tcPr>
            <w:tcW w:w="1122" w:type="dxa"/>
          </w:tcPr>
          <w:p>
            <w:pPr>
              <w:pStyle w:val="28"/>
              <w:rPr>
                <w:rFonts w:ascii="Times New Roman"/>
                <w:sz w:val="23"/>
                <w:szCs w:val="23"/>
              </w:rPr>
            </w:pPr>
          </w:p>
        </w:tc>
        <w:tc>
          <w:tcPr>
            <w:tcW w:w="1122"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7" w:type="dxa"/>
          </w:tcPr>
          <w:p>
            <w:pPr>
              <w:pStyle w:val="28"/>
              <w:spacing w:before="131"/>
              <w:ind w:left="107" w:right="98"/>
              <w:jc w:val="center"/>
              <w:rPr>
                <w:rFonts w:ascii="Calibri"/>
                <w:sz w:val="23"/>
                <w:szCs w:val="23"/>
              </w:rPr>
            </w:pPr>
            <w:r>
              <w:rPr>
                <w:rFonts w:ascii="Calibri"/>
                <w:sz w:val="23"/>
                <w:szCs w:val="23"/>
              </w:rPr>
              <w:t>10</w:t>
            </w:r>
          </w:p>
        </w:tc>
        <w:tc>
          <w:tcPr>
            <w:tcW w:w="1559" w:type="dxa"/>
          </w:tcPr>
          <w:p>
            <w:pPr>
              <w:pStyle w:val="28"/>
              <w:rPr>
                <w:rFonts w:ascii="Times New Roman"/>
                <w:sz w:val="23"/>
                <w:szCs w:val="23"/>
              </w:rPr>
            </w:pPr>
          </w:p>
        </w:tc>
        <w:tc>
          <w:tcPr>
            <w:tcW w:w="851" w:type="dxa"/>
          </w:tcPr>
          <w:p>
            <w:pPr>
              <w:pStyle w:val="28"/>
              <w:rPr>
                <w:rFonts w:ascii="Times New Roman"/>
                <w:sz w:val="23"/>
                <w:szCs w:val="23"/>
              </w:rPr>
            </w:pPr>
          </w:p>
        </w:tc>
        <w:tc>
          <w:tcPr>
            <w:tcW w:w="850" w:type="dxa"/>
          </w:tcPr>
          <w:p>
            <w:pPr>
              <w:pStyle w:val="28"/>
              <w:rPr>
                <w:rFonts w:ascii="Times New Roman"/>
                <w:sz w:val="23"/>
                <w:szCs w:val="23"/>
              </w:rPr>
            </w:pPr>
          </w:p>
        </w:tc>
        <w:tc>
          <w:tcPr>
            <w:tcW w:w="1524" w:type="dxa"/>
          </w:tcPr>
          <w:p>
            <w:pPr>
              <w:pStyle w:val="28"/>
              <w:rPr>
                <w:rFonts w:ascii="Times New Roman"/>
                <w:sz w:val="23"/>
                <w:szCs w:val="23"/>
              </w:rPr>
            </w:pPr>
          </w:p>
        </w:tc>
        <w:tc>
          <w:tcPr>
            <w:tcW w:w="1453" w:type="dxa"/>
          </w:tcPr>
          <w:p>
            <w:pPr>
              <w:pStyle w:val="28"/>
              <w:rPr>
                <w:rFonts w:ascii="Times New Roman"/>
                <w:sz w:val="23"/>
                <w:szCs w:val="23"/>
              </w:rPr>
            </w:pPr>
          </w:p>
        </w:tc>
        <w:tc>
          <w:tcPr>
            <w:tcW w:w="992" w:type="dxa"/>
          </w:tcPr>
          <w:p>
            <w:pPr>
              <w:pStyle w:val="28"/>
              <w:rPr>
                <w:rFonts w:ascii="Times New Roman"/>
                <w:sz w:val="23"/>
                <w:szCs w:val="23"/>
              </w:rPr>
            </w:pPr>
          </w:p>
        </w:tc>
        <w:tc>
          <w:tcPr>
            <w:tcW w:w="921" w:type="dxa"/>
          </w:tcPr>
          <w:p>
            <w:pPr>
              <w:pStyle w:val="28"/>
              <w:rPr>
                <w:rFonts w:ascii="Times New Roman"/>
                <w:sz w:val="23"/>
                <w:szCs w:val="23"/>
              </w:rPr>
            </w:pPr>
          </w:p>
        </w:tc>
        <w:tc>
          <w:tcPr>
            <w:tcW w:w="1206" w:type="dxa"/>
          </w:tcPr>
          <w:p>
            <w:pPr>
              <w:pStyle w:val="28"/>
              <w:rPr>
                <w:rFonts w:ascii="Times New Roman"/>
                <w:sz w:val="23"/>
                <w:szCs w:val="23"/>
              </w:rPr>
            </w:pPr>
          </w:p>
        </w:tc>
        <w:tc>
          <w:tcPr>
            <w:tcW w:w="1038" w:type="dxa"/>
          </w:tcPr>
          <w:p>
            <w:pPr>
              <w:pStyle w:val="28"/>
              <w:rPr>
                <w:rFonts w:ascii="Times New Roman"/>
                <w:sz w:val="23"/>
                <w:szCs w:val="23"/>
              </w:rPr>
            </w:pPr>
          </w:p>
        </w:tc>
        <w:tc>
          <w:tcPr>
            <w:tcW w:w="1122" w:type="dxa"/>
          </w:tcPr>
          <w:p>
            <w:pPr>
              <w:pStyle w:val="28"/>
              <w:rPr>
                <w:rFonts w:ascii="Times New Roman"/>
                <w:sz w:val="23"/>
                <w:szCs w:val="23"/>
              </w:rPr>
            </w:pPr>
          </w:p>
        </w:tc>
        <w:tc>
          <w:tcPr>
            <w:tcW w:w="1122" w:type="dxa"/>
          </w:tcPr>
          <w:p>
            <w:pPr>
              <w:pStyle w:val="28"/>
              <w:rPr>
                <w:rFonts w:ascii="Times New Roman"/>
                <w:sz w:val="23"/>
                <w:szCs w:val="23"/>
              </w:rPr>
            </w:pPr>
          </w:p>
        </w:tc>
      </w:tr>
    </w:tbl>
    <w:p>
      <w:pPr>
        <w:spacing w:line="360" w:lineRule="auto"/>
        <w:jc w:val="both"/>
        <w:rPr>
          <w:rFonts w:ascii="Times New Roman" w:hAnsi="Times New Roman" w:cs="Times New Roman"/>
          <w:b/>
          <w:kern w:val="2"/>
          <w:sz w:val="21"/>
          <w:szCs w:val="24"/>
          <w:lang w:bidi="ar-SA"/>
        </w:rPr>
      </w:pPr>
      <w:r>
        <w:rPr>
          <w:rFonts w:hint="eastAsia" w:ascii="Times New Roman" w:hAnsi="Times New Roman"/>
          <w:b/>
          <w:kern w:val="2"/>
          <w:sz w:val="21"/>
          <w:szCs w:val="24"/>
          <w:lang w:val="en-US" w:bidi="ar-SA"/>
        </w:rPr>
        <w:t>注：1.本表后附相关人员</w:t>
      </w:r>
      <w:r>
        <w:rPr>
          <w:rFonts w:hint="eastAsia" w:ascii="Times New Roman" w:hAnsi="Times New Roman" w:cs="Times New Roman"/>
          <w:b/>
          <w:kern w:val="2"/>
          <w:sz w:val="21"/>
          <w:szCs w:val="24"/>
          <w:lang w:val="en-US" w:bidi="ar-SA"/>
        </w:rPr>
        <w:t>身份证、职称证书、学历证书</w:t>
      </w:r>
      <w:r>
        <w:rPr>
          <w:rFonts w:hint="eastAsia" w:ascii="Times New Roman" w:hAnsi="Times New Roman"/>
          <w:b/>
          <w:kern w:val="2"/>
          <w:sz w:val="21"/>
          <w:szCs w:val="24"/>
          <w:lang w:val="en-US" w:bidi="ar-SA"/>
        </w:rPr>
        <w:t>等证明材料的彩色复印件或彩色扫描件。</w:t>
      </w:r>
    </w:p>
    <w:p>
      <w:pPr>
        <w:spacing w:line="360" w:lineRule="auto"/>
        <w:ind w:firstLine="413" w:firstLineChars="196"/>
        <w:jc w:val="both"/>
        <w:rPr>
          <w:rFonts w:ascii="Times New Roman" w:hAnsi="Times New Roman" w:cs="Times New Roman"/>
          <w:b/>
          <w:kern w:val="2"/>
          <w:sz w:val="21"/>
          <w:szCs w:val="24"/>
          <w:lang w:bidi="ar-SA"/>
        </w:rPr>
      </w:pPr>
      <w:r>
        <w:rPr>
          <w:rFonts w:hint="eastAsia" w:ascii="Times New Roman" w:hAnsi="Times New Roman"/>
          <w:b/>
          <w:kern w:val="2"/>
          <w:sz w:val="21"/>
          <w:szCs w:val="24"/>
          <w:lang w:val="en-US" w:bidi="ar-SA"/>
        </w:rPr>
        <w:t>2.人员一旦确定，中标后原则上不再变更，如需变更需征得招标人同意。</w:t>
      </w:r>
    </w:p>
    <w:p>
      <w:pPr>
        <w:ind w:firstLine="964" w:firstLineChars="200"/>
        <w:rPr>
          <w:rFonts w:ascii="Times New Roman"/>
          <w:b/>
          <w:bCs/>
          <w:sz w:val="48"/>
          <w:szCs w:val="48"/>
          <w:lang w:val="en-US"/>
        </w:rPr>
      </w:pPr>
    </w:p>
    <w:p>
      <w:pPr>
        <w:tabs>
          <w:tab w:val="left" w:pos="1440"/>
        </w:tabs>
        <w:rPr>
          <w:rFonts w:ascii="Times New Roman"/>
          <w:sz w:val="48"/>
          <w:szCs w:val="48"/>
          <w:lang w:val="en-US"/>
        </w:rPr>
        <w:sectPr>
          <w:pgSz w:w="16840" w:h="23820"/>
          <w:pgMar w:top="1361" w:right="1474" w:bottom="1361" w:left="1474" w:header="720" w:footer="720" w:gutter="0"/>
          <w:cols w:space="720" w:num="1"/>
        </w:sectPr>
      </w:pPr>
      <w:r>
        <w:rPr>
          <w:rFonts w:ascii="Times New Roman"/>
          <w:sz w:val="48"/>
          <w:szCs w:val="48"/>
          <w:lang w:val="en-US"/>
        </w:rPr>
        <w:tab/>
      </w:r>
    </w:p>
    <w:tbl>
      <w:tblPr>
        <w:tblStyle w:val="26"/>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2"/>
        <w:gridCol w:w="2552"/>
        <w:gridCol w:w="1251"/>
        <w:gridCol w:w="1682"/>
        <w:gridCol w:w="1682"/>
        <w:gridCol w:w="1682"/>
        <w:gridCol w:w="1682"/>
        <w:gridCol w:w="16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3455" w:type="dxa"/>
            <w:gridSpan w:val="8"/>
          </w:tcPr>
          <w:p>
            <w:pPr>
              <w:pStyle w:val="28"/>
              <w:spacing w:line="604" w:lineRule="exact"/>
              <w:ind w:left="2546" w:right="2537"/>
              <w:jc w:val="center"/>
              <w:rPr>
                <w:b/>
                <w:sz w:val="23"/>
                <w:szCs w:val="23"/>
              </w:rPr>
            </w:pPr>
            <w:r>
              <w:rPr>
                <w:rFonts w:hint="eastAsia"/>
                <w:b/>
                <w:sz w:val="23"/>
                <w:szCs w:val="23"/>
              </w:rPr>
              <w:t>表</w:t>
            </w:r>
            <w:r>
              <w:rPr>
                <w:b/>
                <w:sz w:val="23"/>
                <w:szCs w:val="23"/>
              </w:rPr>
              <w:t xml:space="preserve"> 3拟投入本标段主要人员经历表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1242" w:type="dxa"/>
          </w:tcPr>
          <w:p>
            <w:pPr>
              <w:pStyle w:val="28"/>
              <w:spacing w:before="13"/>
              <w:rPr>
                <w:rFonts w:ascii="Microsoft JhengHei"/>
                <w:b/>
                <w:sz w:val="23"/>
                <w:szCs w:val="23"/>
              </w:rPr>
            </w:pPr>
          </w:p>
          <w:p>
            <w:pPr>
              <w:pStyle w:val="28"/>
              <w:spacing w:before="1"/>
              <w:ind w:left="321" w:right="311"/>
              <w:jc w:val="center"/>
              <w:rPr>
                <w:sz w:val="23"/>
                <w:szCs w:val="23"/>
              </w:rPr>
            </w:pPr>
            <w:r>
              <w:rPr>
                <w:sz w:val="23"/>
                <w:szCs w:val="23"/>
              </w:rPr>
              <w:t>序号</w:t>
            </w:r>
          </w:p>
        </w:tc>
        <w:tc>
          <w:tcPr>
            <w:tcW w:w="2552" w:type="dxa"/>
          </w:tcPr>
          <w:p>
            <w:pPr>
              <w:pStyle w:val="28"/>
              <w:spacing w:before="125"/>
              <w:ind w:left="136" w:right="126"/>
              <w:jc w:val="center"/>
              <w:rPr>
                <w:sz w:val="23"/>
                <w:szCs w:val="23"/>
              </w:rPr>
            </w:pPr>
            <w:r>
              <w:rPr>
                <w:sz w:val="23"/>
                <w:szCs w:val="23"/>
              </w:rPr>
              <w:t>在本项目中担任职</w:t>
            </w:r>
          </w:p>
          <w:p>
            <w:pPr>
              <w:pStyle w:val="28"/>
              <w:spacing w:before="7"/>
              <w:rPr>
                <w:rFonts w:ascii="Microsoft JhengHei"/>
                <w:b/>
                <w:sz w:val="23"/>
                <w:szCs w:val="23"/>
              </w:rPr>
            </w:pPr>
          </w:p>
          <w:p>
            <w:pPr>
              <w:pStyle w:val="28"/>
              <w:ind w:left="9"/>
              <w:jc w:val="center"/>
              <w:rPr>
                <w:sz w:val="23"/>
                <w:szCs w:val="23"/>
              </w:rPr>
            </w:pPr>
            <w:r>
              <w:rPr>
                <w:sz w:val="23"/>
                <w:szCs w:val="23"/>
              </w:rPr>
              <w:t>务</w:t>
            </w:r>
          </w:p>
        </w:tc>
        <w:tc>
          <w:tcPr>
            <w:tcW w:w="1251" w:type="dxa"/>
          </w:tcPr>
          <w:p>
            <w:pPr>
              <w:pStyle w:val="28"/>
              <w:spacing w:before="13"/>
              <w:rPr>
                <w:rFonts w:ascii="Microsoft JhengHei"/>
                <w:b/>
                <w:sz w:val="23"/>
                <w:szCs w:val="23"/>
              </w:rPr>
            </w:pPr>
          </w:p>
          <w:p>
            <w:pPr>
              <w:pStyle w:val="28"/>
              <w:spacing w:before="1"/>
              <w:ind w:left="345"/>
              <w:rPr>
                <w:sz w:val="23"/>
                <w:szCs w:val="23"/>
              </w:rPr>
            </w:pPr>
            <w:r>
              <w:rPr>
                <w:sz w:val="23"/>
                <w:szCs w:val="23"/>
              </w:rPr>
              <w:t>姓名</w:t>
            </w:r>
          </w:p>
        </w:tc>
        <w:tc>
          <w:tcPr>
            <w:tcW w:w="1682" w:type="dxa"/>
          </w:tcPr>
          <w:p>
            <w:pPr>
              <w:pStyle w:val="28"/>
              <w:spacing w:before="13"/>
              <w:rPr>
                <w:rFonts w:ascii="Microsoft JhengHei"/>
                <w:b/>
                <w:sz w:val="23"/>
                <w:szCs w:val="23"/>
              </w:rPr>
            </w:pPr>
          </w:p>
          <w:p>
            <w:pPr>
              <w:pStyle w:val="28"/>
              <w:spacing w:before="1"/>
              <w:ind w:left="280"/>
              <w:rPr>
                <w:sz w:val="23"/>
                <w:szCs w:val="23"/>
              </w:rPr>
            </w:pPr>
            <w:r>
              <w:rPr>
                <w:sz w:val="23"/>
                <w:szCs w:val="23"/>
              </w:rPr>
              <w:t>开工时间</w:t>
            </w:r>
          </w:p>
        </w:tc>
        <w:tc>
          <w:tcPr>
            <w:tcW w:w="1682" w:type="dxa"/>
          </w:tcPr>
          <w:p>
            <w:pPr>
              <w:pStyle w:val="28"/>
              <w:spacing w:before="13"/>
              <w:rPr>
                <w:rFonts w:ascii="Microsoft JhengHei"/>
                <w:b/>
                <w:sz w:val="23"/>
                <w:szCs w:val="23"/>
              </w:rPr>
            </w:pPr>
          </w:p>
          <w:p>
            <w:pPr>
              <w:pStyle w:val="28"/>
              <w:spacing w:before="1"/>
              <w:ind w:left="281"/>
              <w:rPr>
                <w:sz w:val="23"/>
                <w:szCs w:val="23"/>
              </w:rPr>
            </w:pPr>
            <w:r>
              <w:rPr>
                <w:sz w:val="23"/>
                <w:szCs w:val="23"/>
              </w:rPr>
              <w:t>竣工时间</w:t>
            </w:r>
          </w:p>
        </w:tc>
        <w:tc>
          <w:tcPr>
            <w:tcW w:w="1682" w:type="dxa"/>
          </w:tcPr>
          <w:p>
            <w:pPr>
              <w:pStyle w:val="28"/>
              <w:spacing w:before="13"/>
              <w:rPr>
                <w:rFonts w:ascii="Microsoft JhengHei"/>
                <w:b/>
                <w:sz w:val="23"/>
                <w:szCs w:val="23"/>
              </w:rPr>
            </w:pPr>
          </w:p>
          <w:p>
            <w:pPr>
              <w:pStyle w:val="28"/>
              <w:spacing w:before="1"/>
              <w:ind w:left="281"/>
              <w:rPr>
                <w:sz w:val="23"/>
                <w:szCs w:val="23"/>
              </w:rPr>
            </w:pPr>
            <w:r>
              <w:rPr>
                <w:sz w:val="23"/>
                <w:szCs w:val="23"/>
              </w:rPr>
              <w:t>项目职务</w:t>
            </w:r>
          </w:p>
        </w:tc>
        <w:tc>
          <w:tcPr>
            <w:tcW w:w="1682" w:type="dxa"/>
          </w:tcPr>
          <w:p>
            <w:pPr>
              <w:pStyle w:val="28"/>
              <w:spacing w:before="13"/>
              <w:rPr>
                <w:rFonts w:ascii="Microsoft JhengHei"/>
                <w:b/>
                <w:sz w:val="23"/>
                <w:szCs w:val="23"/>
              </w:rPr>
            </w:pPr>
          </w:p>
          <w:p>
            <w:pPr>
              <w:pStyle w:val="28"/>
              <w:spacing w:before="1"/>
              <w:ind w:left="280"/>
              <w:rPr>
                <w:sz w:val="23"/>
                <w:szCs w:val="23"/>
              </w:rPr>
            </w:pPr>
            <w:r>
              <w:rPr>
                <w:sz w:val="23"/>
                <w:szCs w:val="23"/>
              </w:rPr>
              <w:t>项目名称</w:t>
            </w:r>
          </w:p>
        </w:tc>
        <w:tc>
          <w:tcPr>
            <w:tcW w:w="1682" w:type="dxa"/>
          </w:tcPr>
          <w:p>
            <w:pPr>
              <w:pStyle w:val="28"/>
              <w:spacing w:before="13"/>
              <w:rPr>
                <w:rFonts w:ascii="Microsoft JhengHei"/>
                <w:b/>
                <w:sz w:val="23"/>
                <w:szCs w:val="23"/>
              </w:rPr>
            </w:pPr>
          </w:p>
          <w:p>
            <w:pPr>
              <w:pStyle w:val="28"/>
              <w:spacing w:before="1"/>
              <w:ind w:left="281"/>
              <w:rPr>
                <w:sz w:val="23"/>
                <w:szCs w:val="23"/>
              </w:rPr>
            </w:pPr>
            <w:r>
              <w:rPr>
                <w:sz w:val="23"/>
                <w:szCs w:val="23"/>
              </w:rPr>
              <w:t>项目简介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42" w:type="dxa"/>
          </w:tcPr>
          <w:p>
            <w:pPr>
              <w:pStyle w:val="28"/>
              <w:spacing w:before="131"/>
              <w:ind w:left="9"/>
              <w:jc w:val="center"/>
              <w:rPr>
                <w:rFonts w:ascii="Calibri"/>
                <w:sz w:val="23"/>
                <w:szCs w:val="23"/>
              </w:rPr>
            </w:pPr>
            <w:r>
              <w:rPr>
                <w:rFonts w:ascii="Calibri"/>
                <w:sz w:val="23"/>
                <w:szCs w:val="23"/>
              </w:rPr>
              <w:t>1</w:t>
            </w:r>
          </w:p>
        </w:tc>
        <w:tc>
          <w:tcPr>
            <w:tcW w:w="2552" w:type="dxa"/>
          </w:tcPr>
          <w:p>
            <w:pPr>
              <w:pStyle w:val="28"/>
              <w:rPr>
                <w:rFonts w:ascii="Times New Roman"/>
                <w:sz w:val="23"/>
                <w:szCs w:val="23"/>
              </w:rPr>
            </w:pPr>
          </w:p>
        </w:tc>
        <w:tc>
          <w:tcPr>
            <w:tcW w:w="1251" w:type="dxa"/>
          </w:tcPr>
          <w:p>
            <w:pPr>
              <w:pStyle w:val="28"/>
              <w:rPr>
                <w:rFonts w:ascii="Times New Roman"/>
                <w:sz w:val="23"/>
                <w:szCs w:val="23"/>
              </w:rPr>
            </w:pPr>
          </w:p>
        </w:tc>
        <w:tc>
          <w:tcPr>
            <w:tcW w:w="1682" w:type="dxa"/>
          </w:tcPr>
          <w:p>
            <w:pPr>
              <w:pStyle w:val="28"/>
              <w:rPr>
                <w:rFonts w:ascii="Times New Roman"/>
                <w:sz w:val="23"/>
                <w:szCs w:val="23"/>
              </w:rPr>
            </w:pPr>
          </w:p>
        </w:tc>
        <w:tc>
          <w:tcPr>
            <w:tcW w:w="1682" w:type="dxa"/>
          </w:tcPr>
          <w:p>
            <w:pPr>
              <w:pStyle w:val="28"/>
              <w:rPr>
                <w:rFonts w:ascii="Times New Roman"/>
                <w:sz w:val="23"/>
                <w:szCs w:val="23"/>
              </w:rPr>
            </w:pPr>
          </w:p>
        </w:tc>
        <w:tc>
          <w:tcPr>
            <w:tcW w:w="1682" w:type="dxa"/>
          </w:tcPr>
          <w:p>
            <w:pPr>
              <w:pStyle w:val="28"/>
              <w:rPr>
                <w:rFonts w:ascii="Times New Roman"/>
                <w:sz w:val="23"/>
                <w:szCs w:val="23"/>
              </w:rPr>
            </w:pPr>
          </w:p>
        </w:tc>
        <w:tc>
          <w:tcPr>
            <w:tcW w:w="1682" w:type="dxa"/>
          </w:tcPr>
          <w:p>
            <w:pPr>
              <w:pStyle w:val="28"/>
              <w:rPr>
                <w:rFonts w:ascii="Times New Roman"/>
                <w:sz w:val="23"/>
                <w:szCs w:val="23"/>
              </w:rPr>
            </w:pPr>
          </w:p>
        </w:tc>
        <w:tc>
          <w:tcPr>
            <w:tcW w:w="1682"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42" w:type="dxa"/>
          </w:tcPr>
          <w:p>
            <w:pPr>
              <w:pStyle w:val="28"/>
              <w:spacing w:before="131"/>
              <w:ind w:left="9"/>
              <w:jc w:val="center"/>
              <w:rPr>
                <w:rFonts w:ascii="Calibri"/>
                <w:sz w:val="23"/>
                <w:szCs w:val="23"/>
              </w:rPr>
            </w:pPr>
            <w:r>
              <w:rPr>
                <w:rFonts w:ascii="Calibri"/>
                <w:sz w:val="23"/>
                <w:szCs w:val="23"/>
              </w:rPr>
              <w:t>2</w:t>
            </w:r>
          </w:p>
        </w:tc>
        <w:tc>
          <w:tcPr>
            <w:tcW w:w="2552" w:type="dxa"/>
          </w:tcPr>
          <w:p>
            <w:pPr>
              <w:pStyle w:val="28"/>
              <w:rPr>
                <w:rFonts w:ascii="Times New Roman"/>
                <w:sz w:val="23"/>
                <w:szCs w:val="23"/>
              </w:rPr>
            </w:pPr>
          </w:p>
        </w:tc>
        <w:tc>
          <w:tcPr>
            <w:tcW w:w="1251" w:type="dxa"/>
          </w:tcPr>
          <w:p>
            <w:pPr>
              <w:pStyle w:val="28"/>
              <w:rPr>
                <w:rFonts w:ascii="Times New Roman"/>
                <w:sz w:val="23"/>
                <w:szCs w:val="23"/>
              </w:rPr>
            </w:pPr>
          </w:p>
        </w:tc>
        <w:tc>
          <w:tcPr>
            <w:tcW w:w="1682" w:type="dxa"/>
          </w:tcPr>
          <w:p>
            <w:pPr>
              <w:pStyle w:val="28"/>
              <w:rPr>
                <w:rFonts w:ascii="Times New Roman"/>
                <w:sz w:val="23"/>
                <w:szCs w:val="23"/>
              </w:rPr>
            </w:pPr>
          </w:p>
        </w:tc>
        <w:tc>
          <w:tcPr>
            <w:tcW w:w="1682" w:type="dxa"/>
          </w:tcPr>
          <w:p>
            <w:pPr>
              <w:pStyle w:val="28"/>
              <w:rPr>
                <w:rFonts w:ascii="Times New Roman"/>
                <w:sz w:val="23"/>
                <w:szCs w:val="23"/>
              </w:rPr>
            </w:pPr>
          </w:p>
        </w:tc>
        <w:tc>
          <w:tcPr>
            <w:tcW w:w="1682" w:type="dxa"/>
          </w:tcPr>
          <w:p>
            <w:pPr>
              <w:pStyle w:val="28"/>
              <w:rPr>
                <w:rFonts w:ascii="Times New Roman"/>
                <w:sz w:val="23"/>
                <w:szCs w:val="23"/>
              </w:rPr>
            </w:pPr>
          </w:p>
        </w:tc>
        <w:tc>
          <w:tcPr>
            <w:tcW w:w="1682" w:type="dxa"/>
          </w:tcPr>
          <w:p>
            <w:pPr>
              <w:pStyle w:val="28"/>
              <w:rPr>
                <w:rFonts w:ascii="Times New Roman"/>
                <w:sz w:val="23"/>
                <w:szCs w:val="23"/>
              </w:rPr>
            </w:pPr>
          </w:p>
        </w:tc>
        <w:tc>
          <w:tcPr>
            <w:tcW w:w="1682"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42" w:type="dxa"/>
          </w:tcPr>
          <w:p>
            <w:pPr>
              <w:pStyle w:val="28"/>
              <w:spacing w:before="131"/>
              <w:ind w:left="9"/>
              <w:jc w:val="center"/>
              <w:rPr>
                <w:rFonts w:ascii="Calibri"/>
                <w:sz w:val="23"/>
                <w:szCs w:val="23"/>
              </w:rPr>
            </w:pPr>
            <w:r>
              <w:rPr>
                <w:rFonts w:ascii="Calibri"/>
                <w:sz w:val="23"/>
                <w:szCs w:val="23"/>
              </w:rPr>
              <w:t>3</w:t>
            </w:r>
          </w:p>
        </w:tc>
        <w:tc>
          <w:tcPr>
            <w:tcW w:w="2552" w:type="dxa"/>
          </w:tcPr>
          <w:p>
            <w:pPr>
              <w:pStyle w:val="28"/>
              <w:rPr>
                <w:rFonts w:ascii="Times New Roman"/>
                <w:sz w:val="23"/>
                <w:szCs w:val="23"/>
              </w:rPr>
            </w:pPr>
          </w:p>
        </w:tc>
        <w:tc>
          <w:tcPr>
            <w:tcW w:w="1251" w:type="dxa"/>
          </w:tcPr>
          <w:p>
            <w:pPr>
              <w:pStyle w:val="28"/>
              <w:rPr>
                <w:rFonts w:ascii="Times New Roman"/>
                <w:sz w:val="23"/>
                <w:szCs w:val="23"/>
              </w:rPr>
            </w:pPr>
          </w:p>
        </w:tc>
        <w:tc>
          <w:tcPr>
            <w:tcW w:w="1682" w:type="dxa"/>
          </w:tcPr>
          <w:p>
            <w:pPr>
              <w:pStyle w:val="28"/>
              <w:rPr>
                <w:rFonts w:ascii="Times New Roman"/>
                <w:sz w:val="23"/>
                <w:szCs w:val="23"/>
              </w:rPr>
            </w:pPr>
          </w:p>
        </w:tc>
        <w:tc>
          <w:tcPr>
            <w:tcW w:w="1682" w:type="dxa"/>
          </w:tcPr>
          <w:p>
            <w:pPr>
              <w:pStyle w:val="28"/>
              <w:rPr>
                <w:rFonts w:ascii="Times New Roman"/>
                <w:sz w:val="23"/>
                <w:szCs w:val="23"/>
              </w:rPr>
            </w:pPr>
          </w:p>
        </w:tc>
        <w:tc>
          <w:tcPr>
            <w:tcW w:w="1682" w:type="dxa"/>
          </w:tcPr>
          <w:p>
            <w:pPr>
              <w:pStyle w:val="28"/>
              <w:rPr>
                <w:rFonts w:ascii="Times New Roman"/>
                <w:sz w:val="23"/>
                <w:szCs w:val="23"/>
              </w:rPr>
            </w:pPr>
          </w:p>
        </w:tc>
        <w:tc>
          <w:tcPr>
            <w:tcW w:w="1682" w:type="dxa"/>
          </w:tcPr>
          <w:p>
            <w:pPr>
              <w:pStyle w:val="28"/>
              <w:rPr>
                <w:rFonts w:ascii="Times New Roman"/>
                <w:sz w:val="23"/>
                <w:szCs w:val="23"/>
              </w:rPr>
            </w:pPr>
          </w:p>
        </w:tc>
        <w:tc>
          <w:tcPr>
            <w:tcW w:w="1682"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42" w:type="dxa"/>
          </w:tcPr>
          <w:p>
            <w:pPr>
              <w:pStyle w:val="28"/>
              <w:spacing w:before="131"/>
              <w:ind w:left="9"/>
              <w:jc w:val="center"/>
              <w:rPr>
                <w:rFonts w:ascii="Calibri"/>
                <w:sz w:val="23"/>
                <w:szCs w:val="23"/>
              </w:rPr>
            </w:pPr>
            <w:r>
              <w:rPr>
                <w:rFonts w:ascii="Calibri"/>
                <w:sz w:val="23"/>
                <w:szCs w:val="23"/>
              </w:rPr>
              <w:t>4</w:t>
            </w:r>
          </w:p>
        </w:tc>
        <w:tc>
          <w:tcPr>
            <w:tcW w:w="2552" w:type="dxa"/>
          </w:tcPr>
          <w:p>
            <w:pPr>
              <w:pStyle w:val="28"/>
              <w:rPr>
                <w:rFonts w:ascii="Times New Roman"/>
                <w:sz w:val="23"/>
                <w:szCs w:val="23"/>
              </w:rPr>
            </w:pPr>
          </w:p>
        </w:tc>
        <w:tc>
          <w:tcPr>
            <w:tcW w:w="1251" w:type="dxa"/>
          </w:tcPr>
          <w:p>
            <w:pPr>
              <w:pStyle w:val="28"/>
              <w:rPr>
                <w:rFonts w:ascii="Times New Roman"/>
                <w:sz w:val="23"/>
                <w:szCs w:val="23"/>
              </w:rPr>
            </w:pPr>
          </w:p>
        </w:tc>
        <w:tc>
          <w:tcPr>
            <w:tcW w:w="1682" w:type="dxa"/>
          </w:tcPr>
          <w:p>
            <w:pPr>
              <w:pStyle w:val="28"/>
              <w:rPr>
                <w:rFonts w:ascii="Times New Roman"/>
                <w:sz w:val="23"/>
                <w:szCs w:val="23"/>
              </w:rPr>
            </w:pPr>
          </w:p>
        </w:tc>
        <w:tc>
          <w:tcPr>
            <w:tcW w:w="1682" w:type="dxa"/>
          </w:tcPr>
          <w:p>
            <w:pPr>
              <w:pStyle w:val="28"/>
              <w:rPr>
                <w:rFonts w:ascii="Times New Roman"/>
                <w:sz w:val="23"/>
                <w:szCs w:val="23"/>
              </w:rPr>
            </w:pPr>
          </w:p>
        </w:tc>
        <w:tc>
          <w:tcPr>
            <w:tcW w:w="1682" w:type="dxa"/>
          </w:tcPr>
          <w:p>
            <w:pPr>
              <w:pStyle w:val="28"/>
              <w:rPr>
                <w:rFonts w:ascii="Times New Roman"/>
                <w:sz w:val="23"/>
                <w:szCs w:val="23"/>
              </w:rPr>
            </w:pPr>
          </w:p>
        </w:tc>
        <w:tc>
          <w:tcPr>
            <w:tcW w:w="1682" w:type="dxa"/>
          </w:tcPr>
          <w:p>
            <w:pPr>
              <w:pStyle w:val="28"/>
              <w:rPr>
                <w:rFonts w:ascii="Times New Roman"/>
                <w:sz w:val="23"/>
                <w:szCs w:val="23"/>
              </w:rPr>
            </w:pPr>
          </w:p>
        </w:tc>
        <w:tc>
          <w:tcPr>
            <w:tcW w:w="1682"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42" w:type="dxa"/>
          </w:tcPr>
          <w:p>
            <w:pPr>
              <w:pStyle w:val="28"/>
              <w:spacing w:before="131"/>
              <w:ind w:left="9"/>
              <w:jc w:val="center"/>
              <w:rPr>
                <w:rFonts w:ascii="Calibri"/>
                <w:sz w:val="23"/>
                <w:szCs w:val="23"/>
              </w:rPr>
            </w:pPr>
            <w:r>
              <w:rPr>
                <w:rFonts w:ascii="Calibri"/>
                <w:sz w:val="23"/>
                <w:szCs w:val="23"/>
              </w:rPr>
              <w:t>5</w:t>
            </w:r>
          </w:p>
        </w:tc>
        <w:tc>
          <w:tcPr>
            <w:tcW w:w="2552" w:type="dxa"/>
          </w:tcPr>
          <w:p>
            <w:pPr>
              <w:pStyle w:val="28"/>
              <w:rPr>
                <w:rFonts w:ascii="Times New Roman"/>
                <w:sz w:val="23"/>
                <w:szCs w:val="23"/>
              </w:rPr>
            </w:pPr>
          </w:p>
        </w:tc>
        <w:tc>
          <w:tcPr>
            <w:tcW w:w="1251" w:type="dxa"/>
          </w:tcPr>
          <w:p>
            <w:pPr>
              <w:pStyle w:val="28"/>
              <w:rPr>
                <w:rFonts w:ascii="Times New Roman"/>
                <w:sz w:val="23"/>
                <w:szCs w:val="23"/>
              </w:rPr>
            </w:pPr>
          </w:p>
        </w:tc>
        <w:tc>
          <w:tcPr>
            <w:tcW w:w="1682" w:type="dxa"/>
          </w:tcPr>
          <w:p>
            <w:pPr>
              <w:pStyle w:val="28"/>
              <w:rPr>
                <w:rFonts w:ascii="Times New Roman"/>
                <w:sz w:val="23"/>
                <w:szCs w:val="23"/>
              </w:rPr>
            </w:pPr>
          </w:p>
        </w:tc>
        <w:tc>
          <w:tcPr>
            <w:tcW w:w="1682" w:type="dxa"/>
          </w:tcPr>
          <w:p>
            <w:pPr>
              <w:pStyle w:val="28"/>
              <w:rPr>
                <w:rFonts w:ascii="Times New Roman"/>
                <w:sz w:val="23"/>
                <w:szCs w:val="23"/>
              </w:rPr>
            </w:pPr>
          </w:p>
        </w:tc>
        <w:tc>
          <w:tcPr>
            <w:tcW w:w="1682" w:type="dxa"/>
          </w:tcPr>
          <w:p>
            <w:pPr>
              <w:pStyle w:val="28"/>
              <w:rPr>
                <w:rFonts w:ascii="Times New Roman"/>
                <w:sz w:val="23"/>
                <w:szCs w:val="23"/>
              </w:rPr>
            </w:pPr>
          </w:p>
        </w:tc>
        <w:tc>
          <w:tcPr>
            <w:tcW w:w="1682" w:type="dxa"/>
          </w:tcPr>
          <w:p>
            <w:pPr>
              <w:pStyle w:val="28"/>
              <w:rPr>
                <w:rFonts w:ascii="Times New Roman"/>
                <w:sz w:val="23"/>
                <w:szCs w:val="23"/>
              </w:rPr>
            </w:pPr>
          </w:p>
        </w:tc>
        <w:tc>
          <w:tcPr>
            <w:tcW w:w="1682"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42" w:type="dxa"/>
          </w:tcPr>
          <w:p>
            <w:pPr>
              <w:pStyle w:val="28"/>
              <w:spacing w:before="131"/>
              <w:ind w:left="9"/>
              <w:jc w:val="center"/>
              <w:rPr>
                <w:rFonts w:ascii="Calibri"/>
                <w:sz w:val="23"/>
                <w:szCs w:val="23"/>
              </w:rPr>
            </w:pPr>
            <w:r>
              <w:rPr>
                <w:rFonts w:ascii="Calibri"/>
                <w:sz w:val="23"/>
                <w:szCs w:val="23"/>
              </w:rPr>
              <w:t>6</w:t>
            </w:r>
          </w:p>
        </w:tc>
        <w:tc>
          <w:tcPr>
            <w:tcW w:w="2552" w:type="dxa"/>
          </w:tcPr>
          <w:p>
            <w:pPr>
              <w:pStyle w:val="28"/>
              <w:rPr>
                <w:rFonts w:ascii="Times New Roman"/>
                <w:sz w:val="23"/>
                <w:szCs w:val="23"/>
              </w:rPr>
            </w:pPr>
          </w:p>
        </w:tc>
        <w:tc>
          <w:tcPr>
            <w:tcW w:w="1251" w:type="dxa"/>
          </w:tcPr>
          <w:p>
            <w:pPr>
              <w:pStyle w:val="28"/>
              <w:rPr>
                <w:rFonts w:ascii="Times New Roman"/>
                <w:sz w:val="23"/>
                <w:szCs w:val="23"/>
              </w:rPr>
            </w:pPr>
          </w:p>
        </w:tc>
        <w:tc>
          <w:tcPr>
            <w:tcW w:w="1682" w:type="dxa"/>
          </w:tcPr>
          <w:p>
            <w:pPr>
              <w:pStyle w:val="28"/>
              <w:rPr>
                <w:rFonts w:ascii="Times New Roman"/>
                <w:sz w:val="23"/>
                <w:szCs w:val="23"/>
              </w:rPr>
            </w:pPr>
          </w:p>
        </w:tc>
        <w:tc>
          <w:tcPr>
            <w:tcW w:w="1682" w:type="dxa"/>
          </w:tcPr>
          <w:p>
            <w:pPr>
              <w:pStyle w:val="28"/>
              <w:rPr>
                <w:rFonts w:ascii="Times New Roman"/>
                <w:sz w:val="23"/>
                <w:szCs w:val="23"/>
              </w:rPr>
            </w:pPr>
          </w:p>
        </w:tc>
        <w:tc>
          <w:tcPr>
            <w:tcW w:w="1682" w:type="dxa"/>
          </w:tcPr>
          <w:p>
            <w:pPr>
              <w:pStyle w:val="28"/>
              <w:rPr>
                <w:rFonts w:ascii="Times New Roman"/>
                <w:sz w:val="23"/>
                <w:szCs w:val="23"/>
              </w:rPr>
            </w:pPr>
          </w:p>
        </w:tc>
        <w:tc>
          <w:tcPr>
            <w:tcW w:w="1682" w:type="dxa"/>
          </w:tcPr>
          <w:p>
            <w:pPr>
              <w:pStyle w:val="28"/>
              <w:rPr>
                <w:rFonts w:ascii="Times New Roman"/>
                <w:sz w:val="23"/>
                <w:szCs w:val="23"/>
              </w:rPr>
            </w:pPr>
          </w:p>
        </w:tc>
        <w:tc>
          <w:tcPr>
            <w:tcW w:w="1682"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242" w:type="dxa"/>
          </w:tcPr>
          <w:p>
            <w:pPr>
              <w:pStyle w:val="28"/>
              <w:spacing w:before="131"/>
              <w:ind w:left="9"/>
              <w:jc w:val="center"/>
              <w:rPr>
                <w:rFonts w:ascii="Calibri"/>
                <w:sz w:val="23"/>
                <w:szCs w:val="23"/>
              </w:rPr>
            </w:pPr>
            <w:r>
              <w:rPr>
                <w:rFonts w:ascii="Calibri"/>
                <w:sz w:val="23"/>
                <w:szCs w:val="23"/>
              </w:rPr>
              <w:t>7</w:t>
            </w:r>
          </w:p>
        </w:tc>
        <w:tc>
          <w:tcPr>
            <w:tcW w:w="2552" w:type="dxa"/>
          </w:tcPr>
          <w:p>
            <w:pPr>
              <w:pStyle w:val="28"/>
              <w:rPr>
                <w:rFonts w:ascii="Times New Roman"/>
                <w:sz w:val="23"/>
                <w:szCs w:val="23"/>
              </w:rPr>
            </w:pPr>
          </w:p>
        </w:tc>
        <w:tc>
          <w:tcPr>
            <w:tcW w:w="1251" w:type="dxa"/>
          </w:tcPr>
          <w:p>
            <w:pPr>
              <w:pStyle w:val="28"/>
              <w:rPr>
                <w:rFonts w:ascii="Times New Roman"/>
                <w:sz w:val="23"/>
                <w:szCs w:val="23"/>
              </w:rPr>
            </w:pPr>
          </w:p>
        </w:tc>
        <w:tc>
          <w:tcPr>
            <w:tcW w:w="1682" w:type="dxa"/>
          </w:tcPr>
          <w:p>
            <w:pPr>
              <w:pStyle w:val="28"/>
              <w:rPr>
                <w:rFonts w:ascii="Times New Roman"/>
                <w:sz w:val="23"/>
                <w:szCs w:val="23"/>
              </w:rPr>
            </w:pPr>
          </w:p>
        </w:tc>
        <w:tc>
          <w:tcPr>
            <w:tcW w:w="1682" w:type="dxa"/>
          </w:tcPr>
          <w:p>
            <w:pPr>
              <w:pStyle w:val="28"/>
              <w:rPr>
                <w:rFonts w:ascii="Times New Roman"/>
                <w:sz w:val="23"/>
                <w:szCs w:val="23"/>
              </w:rPr>
            </w:pPr>
          </w:p>
        </w:tc>
        <w:tc>
          <w:tcPr>
            <w:tcW w:w="1682" w:type="dxa"/>
          </w:tcPr>
          <w:p>
            <w:pPr>
              <w:pStyle w:val="28"/>
              <w:rPr>
                <w:rFonts w:ascii="Times New Roman"/>
                <w:sz w:val="23"/>
                <w:szCs w:val="23"/>
              </w:rPr>
            </w:pPr>
          </w:p>
        </w:tc>
        <w:tc>
          <w:tcPr>
            <w:tcW w:w="1682" w:type="dxa"/>
          </w:tcPr>
          <w:p>
            <w:pPr>
              <w:pStyle w:val="28"/>
              <w:rPr>
                <w:rFonts w:ascii="Times New Roman"/>
                <w:sz w:val="23"/>
                <w:szCs w:val="23"/>
              </w:rPr>
            </w:pPr>
          </w:p>
        </w:tc>
        <w:tc>
          <w:tcPr>
            <w:tcW w:w="1682"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242" w:type="dxa"/>
          </w:tcPr>
          <w:p>
            <w:pPr>
              <w:pStyle w:val="28"/>
              <w:spacing w:before="131"/>
              <w:ind w:left="9"/>
              <w:jc w:val="center"/>
              <w:rPr>
                <w:rFonts w:ascii="Calibri"/>
                <w:sz w:val="23"/>
                <w:szCs w:val="23"/>
              </w:rPr>
            </w:pPr>
            <w:r>
              <w:rPr>
                <w:rFonts w:ascii="Calibri"/>
                <w:sz w:val="23"/>
                <w:szCs w:val="23"/>
              </w:rPr>
              <w:t>8</w:t>
            </w:r>
          </w:p>
        </w:tc>
        <w:tc>
          <w:tcPr>
            <w:tcW w:w="2552" w:type="dxa"/>
          </w:tcPr>
          <w:p>
            <w:pPr>
              <w:pStyle w:val="28"/>
              <w:rPr>
                <w:rFonts w:ascii="Times New Roman"/>
                <w:sz w:val="23"/>
                <w:szCs w:val="23"/>
              </w:rPr>
            </w:pPr>
          </w:p>
        </w:tc>
        <w:tc>
          <w:tcPr>
            <w:tcW w:w="1251" w:type="dxa"/>
          </w:tcPr>
          <w:p>
            <w:pPr>
              <w:pStyle w:val="28"/>
              <w:rPr>
                <w:rFonts w:ascii="Times New Roman"/>
                <w:sz w:val="23"/>
                <w:szCs w:val="23"/>
              </w:rPr>
            </w:pPr>
          </w:p>
        </w:tc>
        <w:tc>
          <w:tcPr>
            <w:tcW w:w="1682" w:type="dxa"/>
          </w:tcPr>
          <w:p>
            <w:pPr>
              <w:pStyle w:val="28"/>
              <w:rPr>
                <w:rFonts w:ascii="Times New Roman"/>
                <w:sz w:val="23"/>
                <w:szCs w:val="23"/>
              </w:rPr>
            </w:pPr>
          </w:p>
        </w:tc>
        <w:tc>
          <w:tcPr>
            <w:tcW w:w="1682" w:type="dxa"/>
          </w:tcPr>
          <w:p>
            <w:pPr>
              <w:pStyle w:val="28"/>
              <w:rPr>
                <w:rFonts w:ascii="Times New Roman"/>
                <w:sz w:val="23"/>
                <w:szCs w:val="23"/>
              </w:rPr>
            </w:pPr>
          </w:p>
        </w:tc>
        <w:tc>
          <w:tcPr>
            <w:tcW w:w="1682" w:type="dxa"/>
          </w:tcPr>
          <w:p>
            <w:pPr>
              <w:pStyle w:val="28"/>
              <w:rPr>
                <w:rFonts w:ascii="Times New Roman"/>
                <w:sz w:val="23"/>
                <w:szCs w:val="23"/>
              </w:rPr>
            </w:pPr>
          </w:p>
        </w:tc>
        <w:tc>
          <w:tcPr>
            <w:tcW w:w="1682" w:type="dxa"/>
          </w:tcPr>
          <w:p>
            <w:pPr>
              <w:pStyle w:val="28"/>
              <w:rPr>
                <w:rFonts w:ascii="Times New Roman"/>
                <w:sz w:val="23"/>
                <w:szCs w:val="23"/>
              </w:rPr>
            </w:pPr>
          </w:p>
        </w:tc>
        <w:tc>
          <w:tcPr>
            <w:tcW w:w="1682"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242" w:type="dxa"/>
          </w:tcPr>
          <w:p>
            <w:pPr>
              <w:pStyle w:val="28"/>
              <w:spacing w:before="131"/>
              <w:ind w:left="9"/>
              <w:jc w:val="center"/>
              <w:rPr>
                <w:rFonts w:ascii="Calibri"/>
                <w:sz w:val="23"/>
                <w:szCs w:val="23"/>
              </w:rPr>
            </w:pPr>
            <w:r>
              <w:rPr>
                <w:rFonts w:ascii="Calibri"/>
                <w:sz w:val="23"/>
                <w:szCs w:val="23"/>
              </w:rPr>
              <w:t>9</w:t>
            </w:r>
          </w:p>
        </w:tc>
        <w:tc>
          <w:tcPr>
            <w:tcW w:w="2552" w:type="dxa"/>
          </w:tcPr>
          <w:p>
            <w:pPr>
              <w:pStyle w:val="28"/>
              <w:rPr>
                <w:rFonts w:ascii="Times New Roman"/>
                <w:sz w:val="23"/>
                <w:szCs w:val="23"/>
              </w:rPr>
            </w:pPr>
          </w:p>
        </w:tc>
        <w:tc>
          <w:tcPr>
            <w:tcW w:w="1251" w:type="dxa"/>
          </w:tcPr>
          <w:p>
            <w:pPr>
              <w:pStyle w:val="28"/>
              <w:rPr>
                <w:rFonts w:ascii="Times New Roman"/>
                <w:sz w:val="23"/>
                <w:szCs w:val="23"/>
              </w:rPr>
            </w:pPr>
          </w:p>
        </w:tc>
        <w:tc>
          <w:tcPr>
            <w:tcW w:w="1682" w:type="dxa"/>
          </w:tcPr>
          <w:p>
            <w:pPr>
              <w:pStyle w:val="28"/>
              <w:rPr>
                <w:rFonts w:ascii="Times New Roman"/>
                <w:sz w:val="23"/>
                <w:szCs w:val="23"/>
              </w:rPr>
            </w:pPr>
          </w:p>
        </w:tc>
        <w:tc>
          <w:tcPr>
            <w:tcW w:w="1682" w:type="dxa"/>
          </w:tcPr>
          <w:p>
            <w:pPr>
              <w:pStyle w:val="28"/>
              <w:rPr>
                <w:rFonts w:ascii="Times New Roman"/>
                <w:sz w:val="23"/>
                <w:szCs w:val="23"/>
              </w:rPr>
            </w:pPr>
          </w:p>
        </w:tc>
        <w:tc>
          <w:tcPr>
            <w:tcW w:w="1682" w:type="dxa"/>
          </w:tcPr>
          <w:p>
            <w:pPr>
              <w:pStyle w:val="28"/>
              <w:rPr>
                <w:rFonts w:ascii="Times New Roman"/>
                <w:sz w:val="23"/>
                <w:szCs w:val="23"/>
              </w:rPr>
            </w:pPr>
          </w:p>
        </w:tc>
        <w:tc>
          <w:tcPr>
            <w:tcW w:w="1682" w:type="dxa"/>
          </w:tcPr>
          <w:p>
            <w:pPr>
              <w:pStyle w:val="28"/>
              <w:rPr>
                <w:rFonts w:ascii="Times New Roman"/>
                <w:sz w:val="23"/>
                <w:szCs w:val="23"/>
              </w:rPr>
            </w:pPr>
          </w:p>
        </w:tc>
        <w:tc>
          <w:tcPr>
            <w:tcW w:w="1682"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242" w:type="dxa"/>
          </w:tcPr>
          <w:p>
            <w:pPr>
              <w:pStyle w:val="28"/>
              <w:spacing w:before="131"/>
              <w:ind w:left="320" w:right="311"/>
              <w:jc w:val="center"/>
              <w:rPr>
                <w:rFonts w:ascii="Calibri"/>
                <w:sz w:val="23"/>
                <w:szCs w:val="23"/>
              </w:rPr>
            </w:pPr>
            <w:r>
              <w:rPr>
                <w:rFonts w:ascii="Calibri"/>
                <w:sz w:val="23"/>
                <w:szCs w:val="23"/>
              </w:rPr>
              <w:t>10</w:t>
            </w:r>
          </w:p>
        </w:tc>
        <w:tc>
          <w:tcPr>
            <w:tcW w:w="2552" w:type="dxa"/>
          </w:tcPr>
          <w:p>
            <w:pPr>
              <w:pStyle w:val="28"/>
              <w:rPr>
                <w:rFonts w:ascii="Times New Roman"/>
                <w:sz w:val="23"/>
                <w:szCs w:val="23"/>
              </w:rPr>
            </w:pPr>
          </w:p>
        </w:tc>
        <w:tc>
          <w:tcPr>
            <w:tcW w:w="1251" w:type="dxa"/>
          </w:tcPr>
          <w:p>
            <w:pPr>
              <w:pStyle w:val="28"/>
              <w:rPr>
                <w:rFonts w:ascii="Times New Roman"/>
                <w:sz w:val="23"/>
                <w:szCs w:val="23"/>
              </w:rPr>
            </w:pPr>
          </w:p>
        </w:tc>
        <w:tc>
          <w:tcPr>
            <w:tcW w:w="1682" w:type="dxa"/>
          </w:tcPr>
          <w:p>
            <w:pPr>
              <w:pStyle w:val="28"/>
              <w:rPr>
                <w:rFonts w:ascii="Times New Roman"/>
                <w:sz w:val="23"/>
                <w:szCs w:val="23"/>
              </w:rPr>
            </w:pPr>
          </w:p>
        </w:tc>
        <w:tc>
          <w:tcPr>
            <w:tcW w:w="1682" w:type="dxa"/>
          </w:tcPr>
          <w:p>
            <w:pPr>
              <w:pStyle w:val="28"/>
              <w:rPr>
                <w:rFonts w:ascii="Times New Roman"/>
                <w:sz w:val="23"/>
                <w:szCs w:val="23"/>
              </w:rPr>
            </w:pPr>
          </w:p>
        </w:tc>
        <w:tc>
          <w:tcPr>
            <w:tcW w:w="1682" w:type="dxa"/>
          </w:tcPr>
          <w:p>
            <w:pPr>
              <w:pStyle w:val="28"/>
              <w:rPr>
                <w:rFonts w:ascii="Times New Roman"/>
                <w:sz w:val="23"/>
                <w:szCs w:val="23"/>
              </w:rPr>
            </w:pPr>
          </w:p>
        </w:tc>
        <w:tc>
          <w:tcPr>
            <w:tcW w:w="1682" w:type="dxa"/>
          </w:tcPr>
          <w:p>
            <w:pPr>
              <w:pStyle w:val="28"/>
              <w:rPr>
                <w:rFonts w:ascii="Times New Roman"/>
                <w:sz w:val="23"/>
                <w:szCs w:val="23"/>
              </w:rPr>
            </w:pPr>
          </w:p>
        </w:tc>
        <w:tc>
          <w:tcPr>
            <w:tcW w:w="1682" w:type="dxa"/>
          </w:tcPr>
          <w:p>
            <w:pPr>
              <w:pStyle w:val="28"/>
              <w:rPr>
                <w:rFonts w:ascii="Times New Roman"/>
                <w:sz w:val="23"/>
                <w:szCs w:val="23"/>
              </w:rPr>
            </w:pPr>
          </w:p>
        </w:tc>
      </w:tr>
    </w:tbl>
    <w:p>
      <w:pPr>
        <w:tabs>
          <w:tab w:val="left" w:pos="6740"/>
        </w:tabs>
        <w:adjustRightInd w:val="0"/>
        <w:spacing w:line="360" w:lineRule="auto"/>
        <w:rPr>
          <w:rFonts w:ascii="Times New Roman" w:hAnsi="Times New Roman" w:cs="Times New Roman"/>
          <w:b/>
          <w:kern w:val="2"/>
          <w:sz w:val="21"/>
          <w:szCs w:val="24"/>
          <w:lang w:val="en-US" w:bidi="ar-SA"/>
        </w:rPr>
      </w:pPr>
      <w:r>
        <w:rPr>
          <w:rFonts w:hint="eastAsia" w:ascii="Times New Roman" w:hAnsi="Times New Roman"/>
          <w:b/>
          <w:kern w:val="2"/>
          <w:sz w:val="21"/>
          <w:szCs w:val="24"/>
          <w:lang w:val="en-US" w:bidi="ar-SA"/>
        </w:rPr>
        <w:t>注：本表后附拟投入本合同主要人员（至少包括项目负责人）</w:t>
      </w:r>
      <w:r>
        <w:rPr>
          <w:rFonts w:hint="eastAsia" w:ascii="Times New Roman" w:hAnsi="Times New Roman" w:cs="Times New Roman"/>
          <w:b/>
          <w:kern w:val="2"/>
          <w:sz w:val="21"/>
          <w:szCs w:val="24"/>
          <w:lang w:val="en-US" w:bidi="ar-SA"/>
        </w:rPr>
        <w:t>业绩证明材料的彩色复印件或彩色扫描件（至少包括合同、项目完工验收证明材料，二项材料缺一不可。若上述二项材料中未能充分证明业绩要求，则应另外再提供发包人盖章的证明资料</w:t>
      </w:r>
      <w:r>
        <w:rPr>
          <w:rFonts w:ascii="Times New Roman" w:hAnsi="Times New Roman" w:cs="Times New Roman"/>
          <w:b/>
          <w:kern w:val="2"/>
          <w:sz w:val="21"/>
          <w:szCs w:val="24"/>
          <w:lang w:val="en-US" w:bidi="ar-SA"/>
        </w:rPr>
        <w:t>）</w:t>
      </w:r>
      <w:r>
        <w:rPr>
          <w:rFonts w:hint="eastAsia" w:ascii="Times New Roman" w:hAnsi="Times New Roman" w:cs="Times New Roman"/>
          <w:b/>
          <w:kern w:val="2"/>
          <w:sz w:val="21"/>
          <w:szCs w:val="24"/>
          <w:lang w:val="en-US" w:bidi="ar-SA"/>
        </w:rPr>
        <w:t>。</w:t>
      </w:r>
    </w:p>
    <w:p>
      <w:pPr>
        <w:pStyle w:val="28"/>
        <w:spacing w:before="131"/>
        <w:ind w:left="320" w:right="311"/>
        <w:rPr>
          <w:rFonts w:ascii="Times New Roman"/>
          <w:sz w:val="30"/>
          <w:lang w:val="en-US"/>
        </w:rPr>
      </w:pPr>
    </w:p>
    <w:p>
      <w:pPr>
        <w:tabs>
          <w:tab w:val="left" w:pos="705"/>
        </w:tabs>
        <w:rPr>
          <w:rFonts w:ascii="Times New Roman"/>
          <w:sz w:val="30"/>
        </w:rPr>
        <w:sectPr>
          <w:pgSz w:w="16840" w:h="23820"/>
          <w:pgMar w:top="1361" w:right="1474" w:bottom="1361" w:left="1474" w:header="720" w:footer="720" w:gutter="0"/>
          <w:cols w:space="720" w:num="1"/>
        </w:sectPr>
      </w:pPr>
      <w:r>
        <w:rPr>
          <w:rFonts w:ascii="Times New Roman"/>
          <w:sz w:val="30"/>
        </w:rPr>
        <w:tab/>
      </w:r>
    </w:p>
    <w:tbl>
      <w:tblPr>
        <w:tblStyle w:val="26"/>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63"/>
        <w:gridCol w:w="3364"/>
        <w:gridCol w:w="3364"/>
        <w:gridCol w:w="3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3455" w:type="dxa"/>
            <w:gridSpan w:val="4"/>
          </w:tcPr>
          <w:p>
            <w:pPr>
              <w:pStyle w:val="28"/>
              <w:spacing w:line="604" w:lineRule="exact"/>
              <w:ind w:left="2546" w:right="2537"/>
              <w:jc w:val="center"/>
              <w:rPr>
                <w:b/>
                <w:sz w:val="23"/>
                <w:szCs w:val="23"/>
              </w:rPr>
            </w:pPr>
            <w:r>
              <w:rPr>
                <w:rFonts w:hint="eastAsia"/>
                <w:b/>
                <w:sz w:val="23"/>
                <w:szCs w:val="23"/>
              </w:rPr>
              <w:t>表</w:t>
            </w:r>
            <w:r>
              <w:rPr>
                <w:b/>
                <w:sz w:val="23"/>
                <w:szCs w:val="23"/>
              </w:rPr>
              <w:t xml:space="preserve"> 4</w:t>
            </w:r>
            <w:r>
              <w:rPr>
                <w:rFonts w:hint="eastAsia"/>
                <w:b/>
                <w:sz w:val="23"/>
                <w:szCs w:val="23"/>
              </w:rPr>
              <w:t>已建工程表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3455" w:type="dxa"/>
            <w:gridSpan w:val="4"/>
          </w:tcPr>
          <w:p>
            <w:pPr>
              <w:pStyle w:val="28"/>
              <w:spacing w:before="32"/>
              <w:ind w:right="2536"/>
              <w:rPr>
                <w:rFonts w:ascii="Microsoft JhengHei" w:eastAsia="Microsoft JhengHei"/>
                <w:b/>
                <w:sz w:val="23"/>
                <w:szCs w:val="23"/>
              </w:rPr>
            </w:pPr>
            <w:r>
              <w:rPr>
                <w:rFonts w:hint="eastAsia" w:ascii="Microsoft JhengHei" w:eastAsia="Microsoft JhengHei"/>
                <w:b/>
                <w:sz w:val="23"/>
                <w:szCs w:val="23"/>
              </w:rPr>
              <w:t>项目名称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3363" w:type="dxa"/>
          </w:tcPr>
          <w:p>
            <w:pPr>
              <w:pStyle w:val="28"/>
              <w:spacing w:before="125"/>
              <w:ind w:left="176" w:right="166"/>
              <w:jc w:val="center"/>
              <w:rPr>
                <w:sz w:val="23"/>
                <w:szCs w:val="23"/>
              </w:rPr>
            </w:pPr>
            <w:r>
              <w:rPr>
                <w:sz w:val="23"/>
                <w:szCs w:val="23"/>
              </w:rPr>
              <w:t>工程地点：</w:t>
            </w:r>
          </w:p>
        </w:tc>
        <w:tc>
          <w:tcPr>
            <w:tcW w:w="10092" w:type="dxa"/>
            <w:gridSpan w:val="3"/>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363" w:type="dxa"/>
          </w:tcPr>
          <w:p>
            <w:pPr>
              <w:pStyle w:val="28"/>
              <w:spacing w:before="125"/>
              <w:ind w:left="176" w:right="166"/>
              <w:jc w:val="center"/>
              <w:rPr>
                <w:sz w:val="23"/>
                <w:szCs w:val="23"/>
              </w:rPr>
            </w:pPr>
            <w:r>
              <w:rPr>
                <w:sz w:val="23"/>
                <w:szCs w:val="23"/>
              </w:rPr>
              <w:t>合同标段：</w:t>
            </w:r>
          </w:p>
        </w:tc>
        <w:tc>
          <w:tcPr>
            <w:tcW w:w="10092" w:type="dxa"/>
            <w:gridSpan w:val="3"/>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363" w:type="dxa"/>
          </w:tcPr>
          <w:p>
            <w:pPr>
              <w:pStyle w:val="28"/>
              <w:spacing w:before="125"/>
              <w:ind w:left="176" w:right="167"/>
              <w:jc w:val="center"/>
              <w:rPr>
                <w:sz w:val="23"/>
                <w:szCs w:val="23"/>
              </w:rPr>
            </w:pPr>
            <w:r>
              <w:rPr>
                <w:sz w:val="23"/>
                <w:szCs w:val="23"/>
              </w:rPr>
              <w:t>合同价</w:t>
            </w:r>
            <w:r>
              <w:rPr>
                <w:rFonts w:ascii="Calibri" w:eastAsia="Calibri"/>
                <w:sz w:val="23"/>
                <w:szCs w:val="23"/>
              </w:rPr>
              <w:t>(</w:t>
            </w:r>
            <w:r>
              <w:rPr>
                <w:sz w:val="23"/>
                <w:szCs w:val="23"/>
              </w:rPr>
              <w:t>元</w:t>
            </w:r>
            <w:r>
              <w:rPr>
                <w:rFonts w:ascii="Calibri" w:eastAsia="Calibri"/>
                <w:sz w:val="23"/>
                <w:szCs w:val="23"/>
              </w:rPr>
              <w:t>)</w:t>
            </w:r>
            <w:r>
              <w:rPr>
                <w:sz w:val="23"/>
                <w:szCs w:val="23"/>
              </w:rPr>
              <w:t>：</w:t>
            </w:r>
          </w:p>
        </w:tc>
        <w:tc>
          <w:tcPr>
            <w:tcW w:w="3364" w:type="dxa"/>
          </w:tcPr>
          <w:p>
            <w:pPr>
              <w:pStyle w:val="28"/>
              <w:rPr>
                <w:rFonts w:ascii="Times New Roman"/>
                <w:sz w:val="23"/>
                <w:szCs w:val="23"/>
              </w:rPr>
            </w:pPr>
          </w:p>
        </w:tc>
        <w:tc>
          <w:tcPr>
            <w:tcW w:w="3364" w:type="dxa"/>
          </w:tcPr>
          <w:p>
            <w:pPr>
              <w:pStyle w:val="28"/>
              <w:spacing w:before="125"/>
              <w:ind w:left="176" w:right="166"/>
              <w:jc w:val="center"/>
              <w:rPr>
                <w:sz w:val="23"/>
                <w:szCs w:val="23"/>
              </w:rPr>
            </w:pPr>
            <w:r>
              <w:rPr>
                <w:sz w:val="23"/>
                <w:szCs w:val="23"/>
              </w:rPr>
              <w:t>竣工质量评定：</w:t>
            </w:r>
          </w:p>
        </w:tc>
        <w:tc>
          <w:tcPr>
            <w:tcW w:w="3364"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363" w:type="dxa"/>
          </w:tcPr>
          <w:p>
            <w:pPr>
              <w:pStyle w:val="28"/>
              <w:spacing w:before="125"/>
              <w:ind w:left="176" w:right="166"/>
              <w:jc w:val="center"/>
              <w:rPr>
                <w:sz w:val="23"/>
                <w:szCs w:val="23"/>
              </w:rPr>
            </w:pPr>
            <w:r>
              <w:rPr>
                <w:sz w:val="23"/>
                <w:szCs w:val="23"/>
              </w:rPr>
              <w:t>项目负责人：</w:t>
            </w:r>
          </w:p>
        </w:tc>
        <w:tc>
          <w:tcPr>
            <w:tcW w:w="3364" w:type="dxa"/>
          </w:tcPr>
          <w:p>
            <w:pPr>
              <w:pStyle w:val="28"/>
              <w:rPr>
                <w:rFonts w:ascii="Times New Roman"/>
                <w:sz w:val="23"/>
                <w:szCs w:val="23"/>
              </w:rPr>
            </w:pPr>
          </w:p>
        </w:tc>
        <w:tc>
          <w:tcPr>
            <w:tcW w:w="3364" w:type="dxa"/>
          </w:tcPr>
          <w:p>
            <w:pPr>
              <w:pStyle w:val="28"/>
              <w:spacing w:before="125"/>
              <w:ind w:left="176" w:right="166"/>
              <w:jc w:val="center"/>
              <w:rPr>
                <w:sz w:val="23"/>
                <w:szCs w:val="23"/>
              </w:rPr>
            </w:pPr>
            <w:r>
              <w:rPr>
                <w:sz w:val="23"/>
                <w:szCs w:val="23"/>
              </w:rPr>
              <w:t>技术负责人：</w:t>
            </w:r>
          </w:p>
        </w:tc>
        <w:tc>
          <w:tcPr>
            <w:tcW w:w="3364"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363" w:type="dxa"/>
          </w:tcPr>
          <w:p>
            <w:pPr>
              <w:pStyle w:val="28"/>
              <w:spacing w:before="125"/>
              <w:ind w:left="176" w:right="166"/>
              <w:jc w:val="center"/>
              <w:rPr>
                <w:sz w:val="23"/>
                <w:szCs w:val="23"/>
              </w:rPr>
            </w:pPr>
            <w:r>
              <w:rPr>
                <w:sz w:val="23"/>
                <w:szCs w:val="23"/>
              </w:rPr>
              <w:t>承建主体队伍：</w:t>
            </w:r>
          </w:p>
        </w:tc>
        <w:tc>
          <w:tcPr>
            <w:tcW w:w="10092" w:type="dxa"/>
            <w:gridSpan w:val="3"/>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363" w:type="dxa"/>
          </w:tcPr>
          <w:p>
            <w:pPr>
              <w:pStyle w:val="28"/>
              <w:spacing w:before="125"/>
              <w:ind w:left="176" w:right="167"/>
              <w:jc w:val="center"/>
              <w:rPr>
                <w:sz w:val="23"/>
                <w:szCs w:val="23"/>
              </w:rPr>
            </w:pPr>
            <w:r>
              <w:rPr>
                <w:sz w:val="23"/>
                <w:szCs w:val="23"/>
              </w:rPr>
              <w:t>合同工期</w:t>
            </w:r>
            <w:r>
              <w:rPr>
                <w:rFonts w:ascii="Calibri" w:eastAsia="Calibri"/>
                <w:sz w:val="23"/>
                <w:szCs w:val="23"/>
              </w:rPr>
              <w:t>(</w:t>
            </w:r>
            <w:r>
              <w:rPr>
                <w:sz w:val="23"/>
                <w:szCs w:val="23"/>
              </w:rPr>
              <w:t>天</w:t>
            </w:r>
            <w:r>
              <w:rPr>
                <w:rFonts w:ascii="Calibri" w:eastAsia="Calibri"/>
                <w:sz w:val="23"/>
                <w:szCs w:val="23"/>
              </w:rPr>
              <w:t>)</w:t>
            </w:r>
            <w:r>
              <w:rPr>
                <w:sz w:val="23"/>
                <w:szCs w:val="23"/>
              </w:rPr>
              <w:t>：</w:t>
            </w:r>
          </w:p>
        </w:tc>
        <w:tc>
          <w:tcPr>
            <w:tcW w:w="3364" w:type="dxa"/>
          </w:tcPr>
          <w:p>
            <w:pPr>
              <w:pStyle w:val="28"/>
              <w:rPr>
                <w:rFonts w:ascii="Times New Roman"/>
                <w:sz w:val="23"/>
                <w:szCs w:val="23"/>
              </w:rPr>
            </w:pPr>
          </w:p>
        </w:tc>
        <w:tc>
          <w:tcPr>
            <w:tcW w:w="3364" w:type="dxa"/>
          </w:tcPr>
          <w:p>
            <w:pPr>
              <w:pStyle w:val="28"/>
              <w:spacing w:before="125"/>
              <w:ind w:left="176" w:right="167"/>
              <w:jc w:val="center"/>
              <w:rPr>
                <w:sz w:val="23"/>
                <w:szCs w:val="23"/>
              </w:rPr>
            </w:pPr>
            <w:r>
              <w:rPr>
                <w:sz w:val="23"/>
                <w:szCs w:val="23"/>
              </w:rPr>
              <w:t>开工日期</w:t>
            </w:r>
            <w:r>
              <w:rPr>
                <w:rFonts w:ascii="Calibri" w:eastAsia="Calibri"/>
                <w:sz w:val="23"/>
                <w:szCs w:val="23"/>
              </w:rPr>
              <w:t>(</w:t>
            </w:r>
            <w:r>
              <w:rPr>
                <w:sz w:val="23"/>
                <w:szCs w:val="23"/>
              </w:rPr>
              <w:t>年、月</w:t>
            </w:r>
            <w:r>
              <w:rPr>
                <w:rFonts w:ascii="Calibri" w:eastAsia="Calibri"/>
                <w:sz w:val="23"/>
                <w:szCs w:val="23"/>
              </w:rPr>
              <w:t>)</w:t>
            </w:r>
            <w:r>
              <w:rPr>
                <w:sz w:val="23"/>
                <w:szCs w:val="23"/>
              </w:rPr>
              <w:t>：</w:t>
            </w:r>
          </w:p>
        </w:tc>
        <w:tc>
          <w:tcPr>
            <w:tcW w:w="3364"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363" w:type="dxa"/>
          </w:tcPr>
          <w:p>
            <w:pPr>
              <w:pStyle w:val="28"/>
              <w:spacing w:before="125"/>
              <w:ind w:left="176" w:right="167"/>
              <w:jc w:val="center"/>
              <w:rPr>
                <w:sz w:val="23"/>
                <w:szCs w:val="23"/>
              </w:rPr>
            </w:pPr>
            <w:r>
              <w:rPr>
                <w:sz w:val="23"/>
                <w:szCs w:val="23"/>
              </w:rPr>
              <w:t>交</w:t>
            </w:r>
            <w:r>
              <w:rPr>
                <w:rFonts w:ascii="Calibri" w:eastAsia="Calibri"/>
                <w:sz w:val="23"/>
                <w:szCs w:val="23"/>
              </w:rPr>
              <w:t>/</w:t>
            </w:r>
            <w:r>
              <w:rPr>
                <w:sz w:val="23"/>
                <w:szCs w:val="23"/>
              </w:rPr>
              <w:t>竣工日期</w:t>
            </w:r>
            <w:r>
              <w:rPr>
                <w:rFonts w:ascii="Calibri" w:eastAsia="Calibri"/>
                <w:sz w:val="23"/>
                <w:szCs w:val="23"/>
              </w:rPr>
              <w:t>(</w:t>
            </w:r>
            <w:r>
              <w:rPr>
                <w:sz w:val="23"/>
                <w:szCs w:val="23"/>
              </w:rPr>
              <w:t>年、月</w:t>
            </w:r>
            <w:r>
              <w:rPr>
                <w:rFonts w:ascii="Calibri" w:eastAsia="Calibri"/>
                <w:sz w:val="23"/>
                <w:szCs w:val="23"/>
              </w:rPr>
              <w:t>)</w:t>
            </w:r>
            <w:r>
              <w:rPr>
                <w:sz w:val="23"/>
                <w:szCs w:val="23"/>
              </w:rPr>
              <w:t>：</w:t>
            </w:r>
          </w:p>
        </w:tc>
        <w:tc>
          <w:tcPr>
            <w:tcW w:w="3364" w:type="dxa"/>
          </w:tcPr>
          <w:p>
            <w:pPr>
              <w:pStyle w:val="28"/>
              <w:rPr>
                <w:rFonts w:ascii="Times New Roman"/>
                <w:sz w:val="23"/>
                <w:szCs w:val="23"/>
              </w:rPr>
            </w:pPr>
          </w:p>
        </w:tc>
        <w:tc>
          <w:tcPr>
            <w:tcW w:w="3364" w:type="dxa"/>
          </w:tcPr>
          <w:p>
            <w:pPr>
              <w:pStyle w:val="28"/>
              <w:spacing w:before="125"/>
              <w:ind w:left="176" w:right="166"/>
              <w:jc w:val="center"/>
              <w:rPr>
                <w:sz w:val="23"/>
                <w:szCs w:val="23"/>
              </w:rPr>
            </w:pPr>
            <w:r>
              <w:rPr>
                <w:sz w:val="23"/>
                <w:szCs w:val="23"/>
              </w:rPr>
              <w:t>是否为分包：</w:t>
            </w:r>
          </w:p>
        </w:tc>
        <w:tc>
          <w:tcPr>
            <w:tcW w:w="3364"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3363" w:type="dxa"/>
          </w:tcPr>
          <w:p>
            <w:pPr>
              <w:pStyle w:val="28"/>
              <w:spacing w:before="125"/>
              <w:ind w:left="176" w:right="167"/>
              <w:jc w:val="center"/>
              <w:rPr>
                <w:sz w:val="23"/>
                <w:szCs w:val="23"/>
              </w:rPr>
            </w:pPr>
            <w:r>
              <w:rPr>
                <w:sz w:val="23"/>
                <w:szCs w:val="23"/>
              </w:rPr>
              <w:t>获奖情况</w:t>
            </w:r>
            <w:r>
              <w:rPr>
                <w:rFonts w:ascii="Calibri" w:eastAsia="Calibri"/>
                <w:sz w:val="23"/>
                <w:szCs w:val="23"/>
              </w:rPr>
              <w:t>(</w:t>
            </w:r>
            <w:r>
              <w:rPr>
                <w:sz w:val="23"/>
                <w:szCs w:val="23"/>
              </w:rPr>
              <w:t>仅限部、省级</w:t>
            </w:r>
          </w:p>
          <w:p>
            <w:pPr>
              <w:pStyle w:val="28"/>
              <w:spacing w:before="265"/>
              <w:ind w:left="176" w:right="167"/>
              <w:jc w:val="center"/>
              <w:rPr>
                <w:sz w:val="23"/>
                <w:szCs w:val="23"/>
              </w:rPr>
            </w:pPr>
            <w:r>
              <w:rPr>
                <w:sz w:val="23"/>
                <w:szCs w:val="23"/>
              </w:rPr>
              <w:t>以上</w:t>
            </w:r>
            <w:r>
              <w:rPr>
                <w:rFonts w:ascii="Calibri" w:eastAsia="Calibri"/>
                <w:sz w:val="23"/>
                <w:szCs w:val="23"/>
              </w:rPr>
              <w:t>)</w:t>
            </w:r>
            <w:r>
              <w:rPr>
                <w:sz w:val="23"/>
                <w:szCs w:val="23"/>
              </w:rPr>
              <w:t>：</w:t>
            </w:r>
          </w:p>
        </w:tc>
        <w:tc>
          <w:tcPr>
            <w:tcW w:w="10092" w:type="dxa"/>
            <w:gridSpan w:val="3"/>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3363" w:type="dxa"/>
          </w:tcPr>
          <w:p>
            <w:pPr>
              <w:pStyle w:val="28"/>
              <w:spacing w:before="125"/>
              <w:ind w:left="176" w:right="166"/>
              <w:jc w:val="center"/>
              <w:rPr>
                <w:sz w:val="23"/>
                <w:szCs w:val="23"/>
              </w:rPr>
            </w:pPr>
            <w:r>
              <w:rPr>
                <w:sz w:val="23"/>
                <w:szCs w:val="23"/>
              </w:rPr>
              <w:t>发包人名称：</w:t>
            </w:r>
          </w:p>
        </w:tc>
        <w:tc>
          <w:tcPr>
            <w:tcW w:w="10092" w:type="dxa"/>
            <w:gridSpan w:val="3"/>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3363" w:type="dxa"/>
          </w:tcPr>
          <w:p>
            <w:pPr>
              <w:pStyle w:val="28"/>
              <w:spacing w:before="125"/>
              <w:ind w:left="176" w:right="166"/>
              <w:jc w:val="center"/>
              <w:rPr>
                <w:sz w:val="23"/>
                <w:szCs w:val="23"/>
              </w:rPr>
            </w:pPr>
            <w:r>
              <w:rPr>
                <w:sz w:val="23"/>
                <w:szCs w:val="23"/>
              </w:rPr>
              <w:t>发包人联系人：</w:t>
            </w:r>
          </w:p>
        </w:tc>
        <w:tc>
          <w:tcPr>
            <w:tcW w:w="3364" w:type="dxa"/>
          </w:tcPr>
          <w:p>
            <w:pPr>
              <w:pStyle w:val="28"/>
              <w:rPr>
                <w:rFonts w:ascii="Times New Roman"/>
                <w:sz w:val="23"/>
                <w:szCs w:val="23"/>
              </w:rPr>
            </w:pPr>
          </w:p>
        </w:tc>
        <w:tc>
          <w:tcPr>
            <w:tcW w:w="3364" w:type="dxa"/>
          </w:tcPr>
          <w:p>
            <w:pPr>
              <w:pStyle w:val="28"/>
              <w:spacing w:before="125"/>
              <w:ind w:left="176" w:right="166"/>
              <w:jc w:val="center"/>
              <w:rPr>
                <w:sz w:val="23"/>
                <w:szCs w:val="23"/>
              </w:rPr>
            </w:pPr>
            <w:r>
              <w:rPr>
                <w:sz w:val="23"/>
                <w:szCs w:val="23"/>
              </w:rPr>
              <w:t>联系电话：</w:t>
            </w:r>
          </w:p>
        </w:tc>
        <w:tc>
          <w:tcPr>
            <w:tcW w:w="3364"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3363" w:type="dxa"/>
          </w:tcPr>
          <w:p>
            <w:pPr>
              <w:pStyle w:val="28"/>
              <w:spacing w:before="125"/>
              <w:ind w:left="176" w:right="166"/>
              <w:jc w:val="center"/>
              <w:rPr>
                <w:sz w:val="23"/>
                <w:szCs w:val="23"/>
              </w:rPr>
            </w:pPr>
            <w:r>
              <w:rPr>
                <w:sz w:val="23"/>
                <w:szCs w:val="23"/>
              </w:rPr>
              <w:t>工程简介：</w:t>
            </w:r>
          </w:p>
        </w:tc>
        <w:tc>
          <w:tcPr>
            <w:tcW w:w="10092" w:type="dxa"/>
            <w:gridSpan w:val="3"/>
          </w:tcPr>
          <w:p>
            <w:pPr>
              <w:pStyle w:val="28"/>
              <w:rPr>
                <w:rFonts w:ascii="Times New Roman"/>
                <w:sz w:val="23"/>
                <w:szCs w:val="23"/>
              </w:rPr>
            </w:pPr>
          </w:p>
        </w:tc>
      </w:tr>
    </w:tbl>
    <w:p>
      <w:pPr>
        <w:rPr>
          <w:rFonts w:ascii="Times New Roman"/>
          <w:sz w:val="28"/>
        </w:rPr>
      </w:pPr>
    </w:p>
    <w:p>
      <w:pPr>
        <w:tabs>
          <w:tab w:val="left" w:pos="6740"/>
        </w:tabs>
        <w:adjustRightInd w:val="0"/>
        <w:spacing w:line="360" w:lineRule="auto"/>
        <w:rPr>
          <w:rFonts w:ascii="Times New Roman" w:hAnsi="Times New Roman" w:cs="Times New Roman"/>
          <w:b/>
          <w:kern w:val="2"/>
          <w:sz w:val="21"/>
          <w:szCs w:val="24"/>
          <w:lang w:val="en-US" w:bidi="ar-SA"/>
        </w:rPr>
      </w:pPr>
      <w:r>
        <w:rPr>
          <w:rFonts w:hint="eastAsia" w:ascii="Times New Roman" w:hAnsi="Times New Roman"/>
          <w:b/>
          <w:kern w:val="2"/>
          <w:sz w:val="21"/>
          <w:szCs w:val="24"/>
          <w:lang w:val="en-US" w:bidi="ar-SA"/>
        </w:rPr>
        <w:t>注：本表后附投标人</w:t>
      </w:r>
      <w:r>
        <w:rPr>
          <w:rFonts w:hint="eastAsia" w:ascii="Times New Roman" w:hAnsi="Times New Roman" w:cs="Times New Roman"/>
          <w:b/>
          <w:kern w:val="2"/>
          <w:sz w:val="21"/>
          <w:szCs w:val="24"/>
          <w:lang w:val="en-US" w:bidi="ar-SA"/>
        </w:rPr>
        <w:t>业绩证明材料的彩色复印件或彩色扫描件（至少包括合同、项目完工验收证明材料，二项材料缺一不可。若上述二项材料中未能充分证明业绩要求，则应另外再提供发包人盖章的证明资料</w:t>
      </w:r>
      <w:r>
        <w:rPr>
          <w:rFonts w:ascii="Times New Roman" w:hAnsi="Times New Roman" w:cs="Times New Roman"/>
          <w:b/>
          <w:kern w:val="2"/>
          <w:sz w:val="21"/>
          <w:szCs w:val="24"/>
          <w:lang w:val="en-US" w:bidi="ar-SA"/>
        </w:rPr>
        <w:t>）</w:t>
      </w:r>
      <w:r>
        <w:rPr>
          <w:rFonts w:hint="eastAsia" w:ascii="Times New Roman" w:hAnsi="Times New Roman" w:cs="Times New Roman"/>
          <w:b/>
          <w:kern w:val="2"/>
          <w:sz w:val="21"/>
          <w:szCs w:val="24"/>
          <w:lang w:val="en-US" w:bidi="ar-SA"/>
        </w:rPr>
        <w:t>。</w:t>
      </w:r>
    </w:p>
    <w:p>
      <w:pPr>
        <w:tabs>
          <w:tab w:val="left" w:pos="1740"/>
        </w:tabs>
        <w:rPr>
          <w:rFonts w:ascii="Times New Roman"/>
          <w:sz w:val="28"/>
          <w:lang w:val="en-US"/>
        </w:rPr>
      </w:pPr>
    </w:p>
    <w:p>
      <w:pPr>
        <w:tabs>
          <w:tab w:val="left" w:pos="1740"/>
        </w:tabs>
        <w:rPr>
          <w:rFonts w:ascii="Times New Roman"/>
          <w:sz w:val="28"/>
        </w:rPr>
        <w:sectPr>
          <w:pgSz w:w="16840" w:h="23820"/>
          <w:pgMar w:top="1361" w:right="1474" w:bottom="1361" w:left="1474" w:header="720" w:footer="720" w:gutter="0"/>
          <w:cols w:space="720" w:num="1"/>
        </w:sectPr>
      </w:pPr>
      <w:r>
        <w:rPr>
          <w:rFonts w:ascii="Times New Roman"/>
          <w:sz w:val="28"/>
        </w:rPr>
        <w:tab/>
      </w:r>
    </w:p>
    <w:tbl>
      <w:tblPr>
        <w:tblStyle w:val="26"/>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8"/>
        <w:gridCol w:w="6520"/>
        <w:gridCol w:w="5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3455" w:type="dxa"/>
            <w:gridSpan w:val="3"/>
          </w:tcPr>
          <w:p>
            <w:pPr>
              <w:pStyle w:val="28"/>
              <w:spacing w:line="604" w:lineRule="exact"/>
              <w:ind w:left="2546" w:right="2537"/>
              <w:jc w:val="center"/>
              <w:rPr>
                <w:b/>
                <w:sz w:val="23"/>
                <w:szCs w:val="23"/>
              </w:rPr>
            </w:pPr>
            <w:r>
              <w:rPr>
                <w:rFonts w:hint="eastAsia"/>
                <w:b/>
                <w:sz w:val="23"/>
                <w:szCs w:val="23"/>
              </w:rPr>
              <w:t>表</w:t>
            </w:r>
            <w:r>
              <w:rPr>
                <w:b/>
                <w:sz w:val="23"/>
                <w:szCs w:val="23"/>
              </w:rPr>
              <w:t>5投标人与其他单位</w:t>
            </w:r>
            <w:r>
              <w:rPr>
                <w:rFonts w:hint="eastAsia"/>
                <w:b/>
                <w:sz w:val="23"/>
                <w:szCs w:val="23"/>
              </w:rPr>
              <w:t>控股、管理关系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68" w:type="dxa"/>
          </w:tcPr>
          <w:p>
            <w:pPr>
              <w:pStyle w:val="28"/>
              <w:spacing w:before="125"/>
              <w:ind w:left="254" w:right="244"/>
              <w:jc w:val="center"/>
              <w:rPr>
                <w:sz w:val="23"/>
                <w:szCs w:val="23"/>
              </w:rPr>
            </w:pPr>
            <w:r>
              <w:rPr>
                <w:sz w:val="23"/>
                <w:szCs w:val="23"/>
              </w:rPr>
              <w:t>序号</w:t>
            </w:r>
          </w:p>
        </w:tc>
        <w:tc>
          <w:tcPr>
            <w:tcW w:w="6520" w:type="dxa"/>
          </w:tcPr>
          <w:p>
            <w:pPr>
              <w:pStyle w:val="28"/>
              <w:spacing w:before="125"/>
              <w:ind w:left="945" w:right="936"/>
              <w:jc w:val="center"/>
              <w:rPr>
                <w:sz w:val="23"/>
                <w:szCs w:val="23"/>
              </w:rPr>
            </w:pPr>
            <w:r>
              <w:rPr>
                <w:sz w:val="23"/>
                <w:szCs w:val="23"/>
              </w:rPr>
              <w:t>控股、管理申请人</w:t>
            </w:r>
            <w:r>
              <w:rPr>
                <w:rFonts w:ascii="Calibri" w:eastAsia="Calibri"/>
                <w:sz w:val="23"/>
                <w:szCs w:val="23"/>
              </w:rPr>
              <w:t>/</w:t>
            </w:r>
            <w:r>
              <w:rPr>
                <w:sz w:val="23"/>
                <w:szCs w:val="23"/>
              </w:rPr>
              <w:t>投标人的单位名称</w:t>
            </w:r>
          </w:p>
        </w:tc>
        <w:tc>
          <w:tcPr>
            <w:tcW w:w="5267" w:type="dxa"/>
          </w:tcPr>
          <w:p>
            <w:pPr>
              <w:pStyle w:val="28"/>
              <w:spacing w:before="125"/>
              <w:ind w:left="1093"/>
              <w:rPr>
                <w:sz w:val="23"/>
                <w:szCs w:val="23"/>
              </w:rPr>
            </w:pPr>
            <w:r>
              <w:rPr>
                <w:sz w:val="23"/>
                <w:szCs w:val="23"/>
              </w:rPr>
              <w:t>控股、管理关系情况说明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68" w:type="dxa"/>
          </w:tcPr>
          <w:p>
            <w:pPr>
              <w:pStyle w:val="28"/>
              <w:spacing w:before="131"/>
              <w:ind w:left="9"/>
              <w:jc w:val="center"/>
              <w:rPr>
                <w:rFonts w:ascii="Calibri"/>
                <w:sz w:val="23"/>
                <w:szCs w:val="23"/>
              </w:rPr>
            </w:pPr>
            <w:r>
              <w:rPr>
                <w:rFonts w:ascii="Calibri"/>
                <w:sz w:val="23"/>
                <w:szCs w:val="23"/>
              </w:rPr>
              <w:t>1</w:t>
            </w:r>
          </w:p>
        </w:tc>
        <w:tc>
          <w:tcPr>
            <w:tcW w:w="6520" w:type="dxa"/>
          </w:tcPr>
          <w:p>
            <w:pPr>
              <w:pStyle w:val="28"/>
              <w:rPr>
                <w:rFonts w:ascii="Times New Roman"/>
                <w:sz w:val="23"/>
                <w:szCs w:val="23"/>
              </w:rPr>
            </w:pPr>
          </w:p>
        </w:tc>
        <w:tc>
          <w:tcPr>
            <w:tcW w:w="5267"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68" w:type="dxa"/>
          </w:tcPr>
          <w:p>
            <w:pPr>
              <w:pStyle w:val="28"/>
              <w:spacing w:before="131"/>
              <w:ind w:left="9"/>
              <w:jc w:val="center"/>
              <w:rPr>
                <w:rFonts w:ascii="Calibri"/>
                <w:sz w:val="23"/>
                <w:szCs w:val="23"/>
              </w:rPr>
            </w:pPr>
            <w:r>
              <w:rPr>
                <w:rFonts w:ascii="Calibri"/>
                <w:sz w:val="23"/>
                <w:szCs w:val="23"/>
              </w:rPr>
              <w:t>2</w:t>
            </w:r>
          </w:p>
        </w:tc>
        <w:tc>
          <w:tcPr>
            <w:tcW w:w="6520" w:type="dxa"/>
          </w:tcPr>
          <w:p>
            <w:pPr>
              <w:pStyle w:val="28"/>
              <w:rPr>
                <w:rFonts w:ascii="Times New Roman"/>
                <w:sz w:val="23"/>
                <w:szCs w:val="23"/>
              </w:rPr>
            </w:pPr>
          </w:p>
        </w:tc>
        <w:tc>
          <w:tcPr>
            <w:tcW w:w="5267"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68" w:type="dxa"/>
          </w:tcPr>
          <w:p>
            <w:pPr>
              <w:pStyle w:val="28"/>
              <w:spacing w:before="131"/>
              <w:ind w:left="9"/>
              <w:jc w:val="center"/>
              <w:rPr>
                <w:rFonts w:ascii="Calibri"/>
                <w:sz w:val="23"/>
                <w:szCs w:val="23"/>
              </w:rPr>
            </w:pPr>
            <w:r>
              <w:rPr>
                <w:rFonts w:ascii="Calibri"/>
                <w:sz w:val="23"/>
                <w:szCs w:val="23"/>
              </w:rPr>
              <w:t>3</w:t>
            </w:r>
          </w:p>
        </w:tc>
        <w:tc>
          <w:tcPr>
            <w:tcW w:w="6520" w:type="dxa"/>
          </w:tcPr>
          <w:p>
            <w:pPr>
              <w:pStyle w:val="28"/>
              <w:rPr>
                <w:rFonts w:ascii="Times New Roman"/>
                <w:sz w:val="23"/>
                <w:szCs w:val="23"/>
              </w:rPr>
            </w:pPr>
          </w:p>
        </w:tc>
        <w:tc>
          <w:tcPr>
            <w:tcW w:w="5267"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68" w:type="dxa"/>
          </w:tcPr>
          <w:p>
            <w:pPr>
              <w:pStyle w:val="28"/>
              <w:spacing w:before="131"/>
              <w:ind w:left="9"/>
              <w:jc w:val="center"/>
              <w:rPr>
                <w:rFonts w:ascii="Calibri"/>
                <w:sz w:val="23"/>
                <w:szCs w:val="23"/>
              </w:rPr>
            </w:pPr>
            <w:r>
              <w:rPr>
                <w:rFonts w:ascii="Calibri"/>
                <w:sz w:val="23"/>
                <w:szCs w:val="23"/>
              </w:rPr>
              <w:t>4</w:t>
            </w:r>
          </w:p>
        </w:tc>
        <w:tc>
          <w:tcPr>
            <w:tcW w:w="6520" w:type="dxa"/>
          </w:tcPr>
          <w:p>
            <w:pPr>
              <w:pStyle w:val="28"/>
              <w:rPr>
                <w:rFonts w:ascii="Times New Roman"/>
                <w:sz w:val="23"/>
                <w:szCs w:val="23"/>
              </w:rPr>
            </w:pPr>
          </w:p>
        </w:tc>
        <w:tc>
          <w:tcPr>
            <w:tcW w:w="5267"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68" w:type="dxa"/>
          </w:tcPr>
          <w:p>
            <w:pPr>
              <w:pStyle w:val="28"/>
              <w:spacing w:before="131"/>
              <w:ind w:left="9"/>
              <w:jc w:val="center"/>
              <w:rPr>
                <w:rFonts w:ascii="Calibri"/>
                <w:sz w:val="23"/>
                <w:szCs w:val="23"/>
              </w:rPr>
            </w:pPr>
            <w:r>
              <w:rPr>
                <w:rFonts w:ascii="Calibri"/>
                <w:sz w:val="23"/>
                <w:szCs w:val="23"/>
              </w:rPr>
              <w:t>5</w:t>
            </w:r>
          </w:p>
        </w:tc>
        <w:tc>
          <w:tcPr>
            <w:tcW w:w="6520" w:type="dxa"/>
          </w:tcPr>
          <w:p>
            <w:pPr>
              <w:pStyle w:val="28"/>
              <w:rPr>
                <w:rFonts w:ascii="Times New Roman"/>
                <w:sz w:val="23"/>
                <w:szCs w:val="23"/>
              </w:rPr>
            </w:pPr>
          </w:p>
        </w:tc>
        <w:tc>
          <w:tcPr>
            <w:tcW w:w="5267"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68" w:type="dxa"/>
          </w:tcPr>
          <w:p>
            <w:pPr>
              <w:pStyle w:val="28"/>
              <w:spacing w:before="131"/>
              <w:ind w:left="9"/>
              <w:jc w:val="center"/>
              <w:rPr>
                <w:rFonts w:ascii="Calibri"/>
                <w:sz w:val="23"/>
                <w:szCs w:val="23"/>
              </w:rPr>
            </w:pPr>
            <w:r>
              <w:rPr>
                <w:rFonts w:ascii="Calibri"/>
                <w:sz w:val="23"/>
                <w:szCs w:val="23"/>
              </w:rPr>
              <w:t>6</w:t>
            </w:r>
          </w:p>
        </w:tc>
        <w:tc>
          <w:tcPr>
            <w:tcW w:w="6520" w:type="dxa"/>
          </w:tcPr>
          <w:p>
            <w:pPr>
              <w:pStyle w:val="28"/>
              <w:rPr>
                <w:rFonts w:ascii="Times New Roman"/>
                <w:sz w:val="23"/>
                <w:szCs w:val="23"/>
              </w:rPr>
            </w:pPr>
          </w:p>
        </w:tc>
        <w:tc>
          <w:tcPr>
            <w:tcW w:w="5267"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68" w:type="dxa"/>
          </w:tcPr>
          <w:p>
            <w:pPr>
              <w:pStyle w:val="28"/>
              <w:spacing w:before="131"/>
              <w:ind w:left="9"/>
              <w:jc w:val="center"/>
              <w:rPr>
                <w:rFonts w:ascii="Calibri"/>
                <w:sz w:val="23"/>
                <w:szCs w:val="23"/>
              </w:rPr>
            </w:pPr>
            <w:r>
              <w:rPr>
                <w:rFonts w:ascii="Calibri"/>
                <w:sz w:val="23"/>
                <w:szCs w:val="23"/>
              </w:rPr>
              <w:t>7</w:t>
            </w:r>
          </w:p>
        </w:tc>
        <w:tc>
          <w:tcPr>
            <w:tcW w:w="6520" w:type="dxa"/>
          </w:tcPr>
          <w:p>
            <w:pPr>
              <w:pStyle w:val="28"/>
              <w:rPr>
                <w:rFonts w:ascii="Times New Roman"/>
                <w:sz w:val="23"/>
                <w:szCs w:val="23"/>
              </w:rPr>
            </w:pPr>
          </w:p>
        </w:tc>
        <w:tc>
          <w:tcPr>
            <w:tcW w:w="5267"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68" w:type="dxa"/>
          </w:tcPr>
          <w:p>
            <w:pPr>
              <w:pStyle w:val="28"/>
              <w:spacing w:before="131"/>
              <w:ind w:left="9"/>
              <w:jc w:val="center"/>
              <w:rPr>
                <w:rFonts w:ascii="Calibri"/>
                <w:sz w:val="23"/>
                <w:szCs w:val="23"/>
              </w:rPr>
            </w:pPr>
            <w:r>
              <w:rPr>
                <w:rFonts w:ascii="Calibri"/>
                <w:sz w:val="23"/>
                <w:szCs w:val="23"/>
              </w:rPr>
              <w:t>8</w:t>
            </w:r>
          </w:p>
        </w:tc>
        <w:tc>
          <w:tcPr>
            <w:tcW w:w="6520" w:type="dxa"/>
          </w:tcPr>
          <w:p>
            <w:pPr>
              <w:pStyle w:val="28"/>
              <w:rPr>
                <w:rFonts w:ascii="Times New Roman"/>
                <w:sz w:val="23"/>
                <w:szCs w:val="23"/>
              </w:rPr>
            </w:pPr>
          </w:p>
        </w:tc>
        <w:tc>
          <w:tcPr>
            <w:tcW w:w="5267"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68" w:type="dxa"/>
          </w:tcPr>
          <w:p>
            <w:pPr>
              <w:pStyle w:val="28"/>
              <w:spacing w:before="131"/>
              <w:ind w:left="9"/>
              <w:jc w:val="center"/>
              <w:rPr>
                <w:rFonts w:ascii="Calibri"/>
                <w:sz w:val="23"/>
                <w:szCs w:val="23"/>
              </w:rPr>
            </w:pPr>
          </w:p>
        </w:tc>
        <w:tc>
          <w:tcPr>
            <w:tcW w:w="6520" w:type="dxa"/>
          </w:tcPr>
          <w:p>
            <w:pPr>
              <w:pStyle w:val="28"/>
              <w:rPr>
                <w:rFonts w:ascii="Times New Roman"/>
                <w:sz w:val="23"/>
                <w:szCs w:val="23"/>
              </w:rPr>
            </w:pPr>
          </w:p>
        </w:tc>
        <w:tc>
          <w:tcPr>
            <w:tcW w:w="5267"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68" w:type="dxa"/>
          </w:tcPr>
          <w:p>
            <w:pPr>
              <w:pStyle w:val="28"/>
              <w:spacing w:before="131"/>
              <w:ind w:left="253" w:right="244"/>
              <w:jc w:val="center"/>
              <w:rPr>
                <w:rFonts w:ascii="Calibri"/>
                <w:sz w:val="23"/>
                <w:szCs w:val="23"/>
              </w:rPr>
            </w:pPr>
          </w:p>
        </w:tc>
        <w:tc>
          <w:tcPr>
            <w:tcW w:w="6520" w:type="dxa"/>
          </w:tcPr>
          <w:p>
            <w:pPr>
              <w:pStyle w:val="28"/>
              <w:rPr>
                <w:rFonts w:ascii="Times New Roman"/>
                <w:sz w:val="23"/>
                <w:szCs w:val="23"/>
              </w:rPr>
            </w:pPr>
          </w:p>
        </w:tc>
        <w:tc>
          <w:tcPr>
            <w:tcW w:w="5267" w:type="dxa"/>
          </w:tcPr>
          <w:p>
            <w:pPr>
              <w:pStyle w:val="28"/>
              <w:rPr>
                <w:rFonts w:ascii="Times New Roman"/>
                <w:sz w:val="23"/>
                <w:szCs w:val="23"/>
              </w:rPr>
            </w:pPr>
          </w:p>
        </w:tc>
      </w:tr>
    </w:tbl>
    <w:p>
      <w:pPr>
        <w:rPr>
          <w:rFonts w:ascii="Times New Roman"/>
          <w:sz w:val="30"/>
        </w:rPr>
        <w:sectPr>
          <w:pgSz w:w="16840" w:h="23820"/>
          <w:pgMar w:top="1361" w:right="1474" w:bottom="1361" w:left="1474" w:header="720" w:footer="720" w:gutter="0"/>
          <w:cols w:space="720" w:num="1"/>
        </w:sectPr>
      </w:pPr>
    </w:p>
    <w:tbl>
      <w:tblPr>
        <w:tblStyle w:val="26"/>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09"/>
        <w:gridCol w:w="5670"/>
        <w:gridCol w:w="5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3455" w:type="dxa"/>
            <w:gridSpan w:val="3"/>
          </w:tcPr>
          <w:p>
            <w:pPr>
              <w:pStyle w:val="28"/>
              <w:spacing w:line="604" w:lineRule="exact"/>
              <w:ind w:left="2546" w:right="2537"/>
              <w:jc w:val="center"/>
              <w:rPr>
                <w:b/>
                <w:sz w:val="23"/>
                <w:szCs w:val="23"/>
              </w:rPr>
            </w:pPr>
            <w:r>
              <w:rPr>
                <w:rFonts w:hint="eastAsia"/>
                <w:b/>
                <w:sz w:val="23"/>
                <w:szCs w:val="23"/>
              </w:rPr>
              <w:t>表</w:t>
            </w:r>
            <w:r>
              <w:rPr>
                <w:b/>
                <w:sz w:val="23"/>
                <w:szCs w:val="23"/>
              </w:rPr>
              <w:t>6近年发生的诉讼及仲裁表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809" w:type="dxa"/>
          </w:tcPr>
          <w:p>
            <w:pPr>
              <w:pStyle w:val="28"/>
              <w:spacing w:before="135"/>
              <w:ind w:left="604" w:right="594"/>
              <w:jc w:val="center"/>
              <w:rPr>
                <w:sz w:val="23"/>
                <w:szCs w:val="23"/>
              </w:rPr>
            </w:pPr>
            <w:r>
              <w:rPr>
                <w:sz w:val="23"/>
                <w:szCs w:val="23"/>
              </w:rPr>
              <w:t>序号</w:t>
            </w:r>
          </w:p>
        </w:tc>
        <w:tc>
          <w:tcPr>
            <w:tcW w:w="5670" w:type="dxa"/>
          </w:tcPr>
          <w:p>
            <w:pPr>
              <w:pStyle w:val="28"/>
              <w:spacing w:before="135"/>
              <w:ind w:left="2534" w:right="2525"/>
              <w:jc w:val="center"/>
              <w:rPr>
                <w:sz w:val="23"/>
                <w:szCs w:val="23"/>
              </w:rPr>
            </w:pPr>
            <w:r>
              <w:rPr>
                <w:sz w:val="23"/>
                <w:szCs w:val="23"/>
              </w:rPr>
              <w:t>项目</w:t>
            </w:r>
          </w:p>
        </w:tc>
        <w:tc>
          <w:tcPr>
            <w:tcW w:w="5976" w:type="dxa"/>
          </w:tcPr>
          <w:p>
            <w:pPr>
              <w:pStyle w:val="28"/>
              <w:spacing w:before="135"/>
              <w:ind w:left="1533"/>
              <w:rPr>
                <w:sz w:val="23"/>
                <w:szCs w:val="23"/>
              </w:rPr>
            </w:pPr>
            <w:r>
              <w:rPr>
                <w:sz w:val="23"/>
                <w:szCs w:val="23"/>
              </w:rPr>
              <w:t>申请人</w:t>
            </w:r>
            <w:r>
              <w:rPr>
                <w:rFonts w:ascii="Calibri" w:eastAsia="Calibri"/>
                <w:sz w:val="23"/>
                <w:szCs w:val="23"/>
              </w:rPr>
              <w:t>/</w:t>
            </w:r>
            <w:r>
              <w:rPr>
                <w:sz w:val="23"/>
                <w:szCs w:val="23"/>
              </w:rPr>
              <w:t>投标人情况说明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809" w:type="dxa"/>
          </w:tcPr>
          <w:p>
            <w:pPr>
              <w:pStyle w:val="28"/>
              <w:spacing w:before="141"/>
              <w:ind w:left="9"/>
              <w:jc w:val="center"/>
              <w:rPr>
                <w:rFonts w:ascii="Calibri"/>
                <w:sz w:val="23"/>
                <w:szCs w:val="23"/>
              </w:rPr>
            </w:pPr>
            <w:r>
              <w:rPr>
                <w:rFonts w:ascii="Calibri"/>
                <w:sz w:val="23"/>
                <w:szCs w:val="23"/>
              </w:rPr>
              <w:t>1</w:t>
            </w:r>
          </w:p>
        </w:tc>
        <w:tc>
          <w:tcPr>
            <w:tcW w:w="5670" w:type="dxa"/>
          </w:tcPr>
          <w:p>
            <w:pPr>
              <w:pStyle w:val="28"/>
              <w:rPr>
                <w:rFonts w:ascii="Times New Roman"/>
                <w:sz w:val="23"/>
                <w:szCs w:val="23"/>
              </w:rPr>
            </w:pPr>
          </w:p>
        </w:tc>
        <w:tc>
          <w:tcPr>
            <w:tcW w:w="5976"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809" w:type="dxa"/>
          </w:tcPr>
          <w:p>
            <w:pPr>
              <w:pStyle w:val="28"/>
              <w:spacing w:before="141"/>
              <w:ind w:left="9"/>
              <w:jc w:val="center"/>
              <w:rPr>
                <w:rFonts w:ascii="Calibri"/>
                <w:sz w:val="23"/>
                <w:szCs w:val="23"/>
              </w:rPr>
            </w:pPr>
            <w:r>
              <w:rPr>
                <w:rFonts w:ascii="Calibri"/>
                <w:sz w:val="23"/>
                <w:szCs w:val="23"/>
              </w:rPr>
              <w:t>2</w:t>
            </w:r>
          </w:p>
        </w:tc>
        <w:tc>
          <w:tcPr>
            <w:tcW w:w="5670" w:type="dxa"/>
          </w:tcPr>
          <w:p>
            <w:pPr>
              <w:pStyle w:val="28"/>
              <w:rPr>
                <w:rFonts w:ascii="Times New Roman"/>
                <w:sz w:val="23"/>
                <w:szCs w:val="23"/>
              </w:rPr>
            </w:pPr>
          </w:p>
        </w:tc>
        <w:tc>
          <w:tcPr>
            <w:tcW w:w="5976"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809" w:type="dxa"/>
          </w:tcPr>
          <w:p>
            <w:pPr>
              <w:pStyle w:val="28"/>
              <w:spacing w:before="141"/>
              <w:ind w:left="9"/>
              <w:jc w:val="center"/>
              <w:rPr>
                <w:rFonts w:ascii="Calibri"/>
                <w:sz w:val="23"/>
                <w:szCs w:val="23"/>
              </w:rPr>
            </w:pPr>
            <w:r>
              <w:rPr>
                <w:rFonts w:ascii="Calibri"/>
                <w:sz w:val="23"/>
                <w:szCs w:val="23"/>
              </w:rPr>
              <w:t>3</w:t>
            </w:r>
          </w:p>
        </w:tc>
        <w:tc>
          <w:tcPr>
            <w:tcW w:w="5670" w:type="dxa"/>
          </w:tcPr>
          <w:p>
            <w:pPr>
              <w:pStyle w:val="28"/>
              <w:rPr>
                <w:rFonts w:ascii="Times New Roman"/>
                <w:sz w:val="23"/>
                <w:szCs w:val="23"/>
              </w:rPr>
            </w:pPr>
          </w:p>
        </w:tc>
        <w:tc>
          <w:tcPr>
            <w:tcW w:w="5976"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809" w:type="dxa"/>
          </w:tcPr>
          <w:p>
            <w:pPr>
              <w:pStyle w:val="28"/>
              <w:spacing w:before="141"/>
              <w:ind w:left="9"/>
              <w:jc w:val="center"/>
              <w:rPr>
                <w:rFonts w:ascii="Calibri"/>
                <w:sz w:val="23"/>
                <w:szCs w:val="23"/>
              </w:rPr>
            </w:pPr>
            <w:r>
              <w:rPr>
                <w:rFonts w:ascii="Calibri"/>
                <w:sz w:val="23"/>
                <w:szCs w:val="23"/>
              </w:rPr>
              <w:t>4</w:t>
            </w:r>
          </w:p>
        </w:tc>
        <w:tc>
          <w:tcPr>
            <w:tcW w:w="5670" w:type="dxa"/>
          </w:tcPr>
          <w:p>
            <w:pPr>
              <w:pStyle w:val="28"/>
              <w:rPr>
                <w:rFonts w:ascii="Times New Roman"/>
                <w:sz w:val="23"/>
                <w:szCs w:val="23"/>
              </w:rPr>
            </w:pPr>
          </w:p>
        </w:tc>
        <w:tc>
          <w:tcPr>
            <w:tcW w:w="5976"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809" w:type="dxa"/>
          </w:tcPr>
          <w:p>
            <w:pPr>
              <w:pStyle w:val="28"/>
              <w:spacing w:before="141"/>
              <w:ind w:left="9"/>
              <w:jc w:val="center"/>
              <w:rPr>
                <w:rFonts w:ascii="Calibri"/>
                <w:sz w:val="23"/>
                <w:szCs w:val="23"/>
              </w:rPr>
            </w:pPr>
            <w:r>
              <w:rPr>
                <w:rFonts w:ascii="Calibri"/>
                <w:sz w:val="23"/>
                <w:szCs w:val="23"/>
              </w:rPr>
              <w:t>5</w:t>
            </w:r>
          </w:p>
        </w:tc>
        <w:tc>
          <w:tcPr>
            <w:tcW w:w="5670" w:type="dxa"/>
          </w:tcPr>
          <w:p>
            <w:pPr>
              <w:pStyle w:val="28"/>
              <w:rPr>
                <w:rFonts w:ascii="Times New Roman"/>
                <w:sz w:val="23"/>
                <w:szCs w:val="23"/>
              </w:rPr>
            </w:pPr>
          </w:p>
        </w:tc>
        <w:tc>
          <w:tcPr>
            <w:tcW w:w="5976"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809" w:type="dxa"/>
          </w:tcPr>
          <w:p>
            <w:pPr>
              <w:pStyle w:val="28"/>
              <w:spacing w:before="141"/>
              <w:ind w:left="9"/>
              <w:jc w:val="center"/>
              <w:rPr>
                <w:rFonts w:ascii="Calibri"/>
                <w:sz w:val="23"/>
                <w:szCs w:val="23"/>
              </w:rPr>
            </w:pPr>
            <w:r>
              <w:rPr>
                <w:rFonts w:ascii="Calibri"/>
                <w:sz w:val="23"/>
                <w:szCs w:val="23"/>
              </w:rPr>
              <w:t>6</w:t>
            </w:r>
          </w:p>
        </w:tc>
        <w:tc>
          <w:tcPr>
            <w:tcW w:w="5670" w:type="dxa"/>
          </w:tcPr>
          <w:p>
            <w:pPr>
              <w:pStyle w:val="28"/>
              <w:rPr>
                <w:rFonts w:ascii="Times New Roman"/>
                <w:sz w:val="23"/>
                <w:szCs w:val="23"/>
              </w:rPr>
            </w:pPr>
          </w:p>
        </w:tc>
        <w:tc>
          <w:tcPr>
            <w:tcW w:w="5976"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809" w:type="dxa"/>
          </w:tcPr>
          <w:p>
            <w:pPr>
              <w:pStyle w:val="28"/>
              <w:spacing w:before="141"/>
              <w:ind w:left="9"/>
              <w:jc w:val="center"/>
              <w:rPr>
                <w:rFonts w:ascii="Calibri"/>
                <w:sz w:val="23"/>
                <w:szCs w:val="23"/>
              </w:rPr>
            </w:pPr>
            <w:r>
              <w:rPr>
                <w:rFonts w:ascii="Calibri"/>
                <w:sz w:val="23"/>
                <w:szCs w:val="23"/>
              </w:rPr>
              <w:t>7</w:t>
            </w:r>
          </w:p>
        </w:tc>
        <w:tc>
          <w:tcPr>
            <w:tcW w:w="5670" w:type="dxa"/>
          </w:tcPr>
          <w:p>
            <w:pPr>
              <w:pStyle w:val="28"/>
              <w:rPr>
                <w:rFonts w:ascii="Times New Roman"/>
                <w:sz w:val="23"/>
                <w:szCs w:val="23"/>
              </w:rPr>
            </w:pPr>
          </w:p>
        </w:tc>
        <w:tc>
          <w:tcPr>
            <w:tcW w:w="5976"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809" w:type="dxa"/>
          </w:tcPr>
          <w:p>
            <w:pPr>
              <w:pStyle w:val="28"/>
              <w:spacing w:before="141"/>
              <w:ind w:left="9"/>
              <w:jc w:val="center"/>
              <w:rPr>
                <w:rFonts w:ascii="Calibri"/>
                <w:sz w:val="23"/>
                <w:szCs w:val="23"/>
              </w:rPr>
            </w:pPr>
            <w:r>
              <w:rPr>
                <w:rFonts w:ascii="Calibri"/>
                <w:sz w:val="23"/>
                <w:szCs w:val="23"/>
              </w:rPr>
              <w:t>8</w:t>
            </w:r>
          </w:p>
        </w:tc>
        <w:tc>
          <w:tcPr>
            <w:tcW w:w="5670" w:type="dxa"/>
          </w:tcPr>
          <w:p>
            <w:pPr>
              <w:pStyle w:val="28"/>
              <w:rPr>
                <w:rFonts w:ascii="Times New Roman"/>
                <w:sz w:val="23"/>
                <w:szCs w:val="23"/>
              </w:rPr>
            </w:pPr>
          </w:p>
        </w:tc>
        <w:tc>
          <w:tcPr>
            <w:tcW w:w="5976"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809" w:type="dxa"/>
          </w:tcPr>
          <w:p>
            <w:pPr>
              <w:pStyle w:val="28"/>
              <w:spacing w:before="141"/>
              <w:ind w:left="9"/>
              <w:jc w:val="center"/>
              <w:rPr>
                <w:rFonts w:ascii="Calibri"/>
                <w:sz w:val="23"/>
                <w:szCs w:val="23"/>
              </w:rPr>
            </w:pPr>
          </w:p>
        </w:tc>
        <w:tc>
          <w:tcPr>
            <w:tcW w:w="5670" w:type="dxa"/>
          </w:tcPr>
          <w:p>
            <w:pPr>
              <w:pStyle w:val="28"/>
              <w:rPr>
                <w:rFonts w:ascii="Times New Roman"/>
                <w:sz w:val="23"/>
                <w:szCs w:val="23"/>
              </w:rPr>
            </w:pPr>
          </w:p>
        </w:tc>
        <w:tc>
          <w:tcPr>
            <w:tcW w:w="5976" w:type="dxa"/>
          </w:tcPr>
          <w:p>
            <w:pPr>
              <w:pStyle w:val="28"/>
              <w:rPr>
                <w:rFonts w:ascii="Times New Roman"/>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809" w:type="dxa"/>
          </w:tcPr>
          <w:p>
            <w:pPr>
              <w:pStyle w:val="28"/>
              <w:spacing w:before="141"/>
              <w:ind w:left="603" w:right="594"/>
              <w:jc w:val="center"/>
              <w:rPr>
                <w:rFonts w:ascii="Calibri"/>
                <w:sz w:val="23"/>
                <w:szCs w:val="23"/>
              </w:rPr>
            </w:pPr>
          </w:p>
        </w:tc>
        <w:tc>
          <w:tcPr>
            <w:tcW w:w="5670" w:type="dxa"/>
          </w:tcPr>
          <w:p>
            <w:pPr>
              <w:pStyle w:val="28"/>
              <w:rPr>
                <w:rFonts w:ascii="Times New Roman"/>
                <w:sz w:val="23"/>
                <w:szCs w:val="23"/>
              </w:rPr>
            </w:pPr>
          </w:p>
        </w:tc>
        <w:tc>
          <w:tcPr>
            <w:tcW w:w="5976" w:type="dxa"/>
          </w:tcPr>
          <w:p>
            <w:pPr>
              <w:pStyle w:val="28"/>
              <w:rPr>
                <w:rFonts w:ascii="Times New Roman"/>
                <w:sz w:val="23"/>
                <w:szCs w:val="23"/>
              </w:rPr>
            </w:pPr>
          </w:p>
        </w:tc>
      </w:tr>
    </w:tbl>
    <w:p>
      <w:pPr>
        <w:rPr>
          <w:rFonts w:ascii="Times New Roman"/>
          <w:sz w:val="30"/>
        </w:rPr>
        <w:sectPr>
          <w:pgSz w:w="16840" w:h="23820"/>
          <w:pgMar w:top="1361" w:right="1474" w:bottom="1361" w:left="1474" w:header="720" w:footer="720" w:gutter="0"/>
          <w:cols w:space="720" w:num="1"/>
        </w:sectPr>
      </w:pPr>
    </w:p>
    <w:p>
      <w:pPr>
        <w:tabs>
          <w:tab w:val="left" w:pos="3975"/>
        </w:tabs>
        <w:rPr>
          <w:sz w:val="36"/>
          <w:lang w:val="en-US"/>
        </w:rPr>
      </w:pPr>
      <w:r>
        <w:rPr>
          <w:rFonts w:ascii="Times New Roman"/>
          <w:sz w:val="30"/>
        </w:rPr>
        <w:tab/>
      </w:r>
      <w:r>
        <w:rPr>
          <w:rFonts w:hint="eastAsia"/>
          <w:sz w:val="36"/>
          <w:lang w:val="en-US"/>
        </w:rPr>
        <w:t>工作大纲</w:t>
      </w:r>
    </w:p>
    <w:p>
      <w:pPr>
        <w:pStyle w:val="28"/>
        <w:spacing w:before="141"/>
        <w:ind w:left="9"/>
        <w:rPr>
          <w:rFonts w:ascii="Calibri"/>
          <w:sz w:val="23"/>
          <w:szCs w:val="23"/>
        </w:rPr>
      </w:pPr>
    </w:p>
    <w:p>
      <w:pPr>
        <w:pStyle w:val="28"/>
        <w:spacing w:before="141"/>
        <w:ind w:left="9"/>
        <w:rPr>
          <w:rFonts w:ascii="Calibri"/>
          <w:sz w:val="23"/>
          <w:szCs w:val="23"/>
        </w:rPr>
      </w:pPr>
      <w:r>
        <w:rPr>
          <w:rFonts w:hint="eastAsia" w:ascii="Calibri"/>
          <w:sz w:val="23"/>
          <w:szCs w:val="23"/>
        </w:rPr>
        <w:t>投标人应根据评标办法评分内容进行编制。</w:t>
      </w:r>
    </w:p>
    <w:p>
      <w:pPr>
        <w:pStyle w:val="28"/>
        <w:spacing w:before="141"/>
        <w:ind w:left="9"/>
        <w:rPr>
          <w:rFonts w:ascii="Calibri"/>
          <w:sz w:val="23"/>
          <w:szCs w:val="23"/>
        </w:rPr>
      </w:pPr>
    </w:p>
    <w:p>
      <w:pPr>
        <w:pStyle w:val="28"/>
        <w:spacing w:before="141"/>
        <w:ind w:left="9" w:firstLine="460" w:firstLineChars="200"/>
        <w:rPr>
          <w:rFonts w:ascii="Calibri"/>
          <w:sz w:val="23"/>
          <w:szCs w:val="23"/>
        </w:rPr>
      </w:pPr>
      <w:r>
        <w:rPr>
          <w:rFonts w:ascii="Calibri"/>
          <w:sz w:val="23"/>
          <w:szCs w:val="23"/>
        </w:rPr>
        <w:t>1</w:t>
      </w:r>
      <w:r>
        <w:rPr>
          <w:rFonts w:hint="eastAsia" w:ascii="Calibri"/>
          <w:sz w:val="23"/>
          <w:szCs w:val="23"/>
        </w:rPr>
        <w:t>、工作思路</w:t>
      </w:r>
    </w:p>
    <w:p>
      <w:pPr>
        <w:pStyle w:val="28"/>
        <w:spacing w:before="141"/>
        <w:ind w:left="9" w:firstLine="460" w:firstLineChars="200"/>
        <w:rPr>
          <w:rFonts w:ascii="Calibri"/>
          <w:sz w:val="23"/>
          <w:szCs w:val="23"/>
        </w:rPr>
      </w:pPr>
      <w:r>
        <w:rPr>
          <w:rFonts w:ascii="Calibri"/>
          <w:sz w:val="23"/>
          <w:szCs w:val="23"/>
        </w:rPr>
        <w:t>2</w:t>
      </w:r>
      <w:r>
        <w:rPr>
          <w:rFonts w:hint="eastAsia" w:ascii="Calibri"/>
          <w:sz w:val="23"/>
          <w:szCs w:val="23"/>
        </w:rPr>
        <w:t>、重点和难点分析及应对策措施</w:t>
      </w:r>
    </w:p>
    <w:p>
      <w:pPr>
        <w:pStyle w:val="28"/>
        <w:spacing w:before="141"/>
        <w:ind w:left="9" w:firstLine="460" w:firstLineChars="200"/>
        <w:rPr>
          <w:rFonts w:ascii="Calibri"/>
          <w:sz w:val="23"/>
          <w:szCs w:val="23"/>
        </w:rPr>
      </w:pPr>
      <w:r>
        <w:rPr>
          <w:rFonts w:ascii="Calibri"/>
          <w:sz w:val="23"/>
          <w:szCs w:val="23"/>
        </w:rPr>
        <w:t>3</w:t>
      </w:r>
      <w:r>
        <w:rPr>
          <w:rFonts w:hint="eastAsia" w:ascii="Calibri"/>
          <w:sz w:val="23"/>
          <w:szCs w:val="23"/>
        </w:rPr>
        <w:t>、服务承诺、服务保障</w:t>
      </w:r>
    </w:p>
    <w:p>
      <w:pPr>
        <w:pStyle w:val="28"/>
        <w:spacing w:before="141"/>
        <w:ind w:left="9" w:firstLine="460" w:firstLineChars="200"/>
        <w:rPr>
          <w:rFonts w:ascii="Calibri"/>
          <w:sz w:val="23"/>
          <w:szCs w:val="23"/>
        </w:rPr>
      </w:pPr>
      <w:r>
        <w:rPr>
          <w:rFonts w:ascii="Calibri"/>
          <w:sz w:val="23"/>
          <w:szCs w:val="23"/>
        </w:rPr>
        <w:t>4</w:t>
      </w:r>
      <w:r>
        <w:rPr>
          <w:rFonts w:hint="eastAsia" w:ascii="Calibri"/>
          <w:sz w:val="23"/>
          <w:szCs w:val="23"/>
        </w:rPr>
        <w:t>、服务工作的目标与质量保证措施</w:t>
      </w:r>
    </w:p>
    <w:p>
      <w:pPr>
        <w:pStyle w:val="28"/>
        <w:spacing w:before="141"/>
        <w:ind w:left="9" w:firstLine="460" w:firstLineChars="200"/>
        <w:rPr>
          <w:rFonts w:ascii="Calibri"/>
          <w:sz w:val="23"/>
          <w:szCs w:val="23"/>
        </w:rPr>
      </w:pPr>
      <w:r>
        <w:rPr>
          <w:rFonts w:hint="eastAsia" w:ascii="Calibri"/>
          <w:sz w:val="23"/>
          <w:szCs w:val="23"/>
        </w:rPr>
        <w:t>5、其它</w:t>
      </w:r>
    </w:p>
    <w:p>
      <w:pPr>
        <w:pStyle w:val="13"/>
        <w:rPr>
          <w:sz w:val="20"/>
        </w:rPr>
      </w:pPr>
    </w:p>
    <w:p>
      <w:pPr>
        <w:pStyle w:val="13"/>
        <w:rPr>
          <w:sz w:val="20"/>
        </w:rPr>
      </w:pPr>
    </w:p>
    <w:p>
      <w:pPr>
        <w:pStyle w:val="13"/>
        <w:rPr>
          <w:sz w:val="20"/>
        </w:rPr>
      </w:pPr>
    </w:p>
    <w:p>
      <w:pPr>
        <w:widowControl/>
        <w:autoSpaceDE/>
        <w:autoSpaceDN/>
        <w:rPr>
          <w:sz w:val="20"/>
          <w:szCs w:val="24"/>
        </w:rPr>
      </w:pPr>
      <w:r>
        <w:rPr>
          <w:sz w:val="20"/>
        </w:rPr>
        <w:br w:type="page"/>
      </w:r>
    </w:p>
    <w:p>
      <w:pPr>
        <w:pStyle w:val="13"/>
        <w:jc w:val="center"/>
        <w:rPr>
          <w:b/>
        </w:rPr>
      </w:pPr>
      <w:bookmarkStart w:id="21" w:name="_Toc517978284"/>
      <w:r>
        <w:rPr>
          <w:rFonts w:hint="eastAsia"/>
          <w:b/>
          <w:szCs w:val="21"/>
        </w:rPr>
        <w:t>七</w:t>
      </w:r>
      <w:r>
        <w:rPr>
          <w:rFonts w:hint="eastAsia"/>
          <w:b/>
        </w:rPr>
        <w:t>、其他资料</w:t>
      </w:r>
      <w:bookmarkEnd w:id="21"/>
    </w:p>
    <w:p>
      <w:pPr>
        <w:pStyle w:val="13"/>
        <w:jc w:val="center"/>
        <w:rPr>
          <w:b/>
        </w:rPr>
      </w:pPr>
    </w:p>
    <w:p>
      <w:pPr>
        <w:pStyle w:val="13"/>
        <w:jc w:val="center"/>
        <w:rPr>
          <w:b/>
        </w:rPr>
      </w:pPr>
    </w:p>
    <w:p>
      <w:pPr>
        <w:pStyle w:val="13"/>
        <w:rPr>
          <w:rFonts w:asciiTheme="minorEastAsia" w:hAnsiTheme="minorEastAsia" w:eastAsiaTheme="minorEastAsia"/>
          <w:bCs/>
          <w:sz w:val="23"/>
          <w:szCs w:val="23"/>
        </w:rPr>
      </w:pPr>
      <w:r>
        <w:rPr>
          <w:rFonts w:hint="eastAsia" w:asciiTheme="minorEastAsia" w:hAnsiTheme="minorEastAsia" w:eastAsiaTheme="minorEastAsia"/>
          <w:bCs/>
          <w:sz w:val="23"/>
          <w:szCs w:val="23"/>
        </w:rPr>
        <w:t>1、“信用中国”网站（</w:t>
      </w:r>
      <w:r>
        <w:rPr>
          <w:rFonts w:asciiTheme="minorEastAsia" w:hAnsiTheme="minorEastAsia" w:eastAsiaTheme="minorEastAsia"/>
          <w:bCs/>
          <w:sz w:val="23"/>
          <w:szCs w:val="23"/>
        </w:rPr>
        <w:t>http://www.creditchina.gov.cn/）中</w:t>
      </w:r>
      <w:r>
        <w:rPr>
          <w:rFonts w:hint="eastAsia" w:asciiTheme="minorEastAsia" w:hAnsiTheme="minorEastAsia" w:eastAsiaTheme="minorEastAsia"/>
          <w:bCs/>
          <w:sz w:val="23"/>
          <w:szCs w:val="23"/>
        </w:rPr>
        <w:t>未</w:t>
      </w:r>
      <w:r>
        <w:rPr>
          <w:rFonts w:asciiTheme="minorEastAsia" w:hAnsiTheme="minorEastAsia" w:eastAsiaTheme="minorEastAsia"/>
          <w:bCs/>
          <w:sz w:val="23"/>
          <w:szCs w:val="23"/>
        </w:rPr>
        <w:t>被列入失信被执行人名单</w:t>
      </w:r>
      <w:r>
        <w:rPr>
          <w:rFonts w:hint="eastAsia" w:asciiTheme="minorEastAsia" w:hAnsiTheme="minorEastAsia" w:eastAsiaTheme="minorEastAsia"/>
          <w:bCs/>
          <w:sz w:val="23"/>
          <w:szCs w:val="23"/>
        </w:rPr>
        <w:t>截图。</w:t>
      </w:r>
    </w:p>
    <w:p>
      <w:pPr>
        <w:pStyle w:val="13"/>
        <w:rPr>
          <w:rFonts w:asciiTheme="minorEastAsia" w:hAnsiTheme="minorEastAsia" w:eastAsiaTheme="minorEastAsia"/>
          <w:bCs/>
          <w:sz w:val="23"/>
          <w:szCs w:val="23"/>
        </w:rPr>
      </w:pPr>
      <w:r>
        <w:rPr>
          <w:rFonts w:hint="eastAsia" w:asciiTheme="minorEastAsia" w:hAnsiTheme="minorEastAsia" w:eastAsiaTheme="minorEastAsia"/>
          <w:bCs/>
          <w:sz w:val="23"/>
          <w:szCs w:val="23"/>
        </w:rPr>
        <w:t>2、其它</w:t>
      </w:r>
    </w:p>
    <w:p>
      <w:pPr>
        <w:pStyle w:val="13"/>
        <w:rPr>
          <w:sz w:val="20"/>
        </w:rPr>
      </w:pPr>
      <w:r>
        <w:rPr>
          <w:rFonts w:asciiTheme="minorEastAsia" w:hAnsiTheme="minorEastAsia" w:eastAsiaTheme="minorEastAsia"/>
          <w:bCs/>
          <w:sz w:val="23"/>
          <w:szCs w:val="23"/>
        </w:rPr>
        <w:t>……</w:t>
      </w:r>
    </w:p>
    <w:p>
      <w:pPr>
        <w:widowControl/>
        <w:autoSpaceDE/>
        <w:autoSpaceDN/>
        <w:rPr>
          <w:sz w:val="18"/>
        </w:rPr>
      </w:pPr>
      <w:r>
        <w:br w:type="page"/>
      </w:r>
      <w:r>
        <w:rPr>
          <w:rFonts w:hint="eastAsia"/>
        </w:rPr>
        <w:t>第二信封：</w:t>
      </w:r>
    </w:p>
    <w:p>
      <w:pPr>
        <w:pStyle w:val="13"/>
        <w:ind w:right="19"/>
        <w:jc w:val="center"/>
      </w:pPr>
    </w:p>
    <w:p>
      <w:pPr>
        <w:pStyle w:val="13"/>
        <w:ind w:right="19"/>
        <w:jc w:val="center"/>
      </w:pPr>
    </w:p>
    <w:p>
      <w:pPr>
        <w:pStyle w:val="13"/>
        <w:ind w:right="19"/>
        <w:jc w:val="center"/>
      </w:pPr>
    </w:p>
    <w:p>
      <w:pPr>
        <w:pStyle w:val="13"/>
        <w:ind w:right="19"/>
        <w:jc w:val="center"/>
      </w:pPr>
    </w:p>
    <w:p>
      <w:pPr>
        <w:pStyle w:val="13"/>
        <w:ind w:right="19"/>
        <w:jc w:val="center"/>
        <w:rPr>
          <w:u w:val="single"/>
        </w:rPr>
      </w:pPr>
      <w:r>
        <w:rPr>
          <w:u w:val="single"/>
        </w:rPr>
        <w:t xml:space="preserve">(项目名称) </w:t>
      </w: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spacing w:before="11"/>
      </w:pPr>
    </w:p>
    <w:p>
      <w:pPr>
        <w:pStyle w:val="2"/>
        <w:spacing w:line="593" w:lineRule="exact"/>
      </w:pPr>
      <w:r>
        <w:t>投    标    文    件</w:t>
      </w:r>
    </w:p>
    <w:p>
      <w:pPr>
        <w:pStyle w:val="13"/>
        <w:rPr>
          <w:rFonts w:ascii="Microsoft JhengHei"/>
          <w:b/>
          <w:sz w:val="36"/>
        </w:rPr>
      </w:pPr>
    </w:p>
    <w:p>
      <w:pPr>
        <w:pStyle w:val="13"/>
        <w:spacing w:before="9"/>
        <w:rPr>
          <w:rFonts w:ascii="Microsoft JhengHei"/>
          <w:b/>
          <w:sz w:val="39"/>
        </w:rPr>
      </w:pPr>
    </w:p>
    <w:p>
      <w:pPr>
        <w:ind w:right="139"/>
        <w:jc w:val="center"/>
        <w:rPr>
          <w:rFonts w:ascii="Microsoft JhengHei" w:eastAsia="Microsoft JhengHei"/>
          <w:b/>
          <w:sz w:val="36"/>
        </w:rPr>
      </w:pPr>
      <w:r>
        <w:rPr>
          <w:rFonts w:hint="eastAsia" w:ascii="Microsoft JhengHei"/>
          <w:b/>
          <w:sz w:val="36"/>
        </w:rPr>
        <w:t>（</w:t>
      </w:r>
      <w:r>
        <w:rPr>
          <w:rFonts w:hint="eastAsia" w:ascii="Microsoft JhengHei"/>
          <w:b/>
          <w:sz w:val="36"/>
          <w:lang w:val="en-US"/>
        </w:rPr>
        <w:t>报价文件</w:t>
      </w:r>
      <w:r>
        <w:rPr>
          <w:rFonts w:hint="eastAsia" w:ascii="Microsoft JhengHei"/>
          <w:b/>
          <w:sz w:val="36"/>
        </w:rPr>
        <w:t>）</w:t>
      </w:r>
    </w:p>
    <w:p>
      <w:pPr>
        <w:pStyle w:val="13"/>
        <w:rPr>
          <w:rFonts w:ascii="Microsoft JhengHei"/>
          <w:b/>
          <w:sz w:val="36"/>
        </w:rPr>
      </w:pPr>
    </w:p>
    <w:p>
      <w:pPr>
        <w:pStyle w:val="13"/>
        <w:rPr>
          <w:rFonts w:ascii="Microsoft JhengHei"/>
          <w:b/>
          <w:sz w:val="36"/>
        </w:rPr>
      </w:pPr>
    </w:p>
    <w:p>
      <w:pPr>
        <w:pStyle w:val="13"/>
        <w:rPr>
          <w:rFonts w:ascii="Microsoft JhengHei"/>
          <w:b/>
          <w:sz w:val="36"/>
        </w:rPr>
      </w:pPr>
    </w:p>
    <w:p>
      <w:pPr>
        <w:pStyle w:val="13"/>
        <w:rPr>
          <w:rFonts w:ascii="Microsoft JhengHei"/>
          <w:b/>
          <w:sz w:val="36"/>
        </w:rPr>
      </w:pPr>
    </w:p>
    <w:p>
      <w:pPr>
        <w:pStyle w:val="13"/>
        <w:rPr>
          <w:rFonts w:ascii="Microsoft JhengHei"/>
          <w:b/>
          <w:sz w:val="36"/>
        </w:rPr>
      </w:pPr>
    </w:p>
    <w:p>
      <w:pPr>
        <w:pStyle w:val="13"/>
        <w:spacing w:before="16"/>
        <w:rPr>
          <w:rFonts w:ascii="Microsoft JhengHei"/>
          <w:b/>
          <w:sz w:val="44"/>
        </w:rPr>
      </w:pPr>
    </w:p>
    <w:p>
      <w:pPr>
        <w:spacing w:before="1"/>
        <w:ind w:left="139" w:right="139"/>
        <w:jc w:val="center"/>
        <w:rPr>
          <w:rFonts w:ascii="Microsoft JhengHei" w:eastAsia="Microsoft JhengHei"/>
          <w:b/>
          <w:sz w:val="28"/>
        </w:rPr>
      </w:pPr>
      <w:r>
        <w:rPr>
          <w:rFonts w:hint="eastAsia" w:ascii="Microsoft JhengHei" w:eastAsia="Microsoft JhengHei"/>
          <w:b/>
          <w:sz w:val="28"/>
        </w:rPr>
        <w:t>投 标 人：（盖单位章）</w:t>
      </w:r>
    </w:p>
    <w:p>
      <w:pPr>
        <w:pStyle w:val="13"/>
        <w:spacing w:before="13"/>
        <w:rPr>
          <w:rFonts w:ascii="Microsoft JhengHei"/>
          <w:b/>
          <w:sz w:val="8"/>
        </w:rPr>
      </w:pPr>
    </w:p>
    <w:p>
      <w:pPr>
        <w:spacing w:line="484" w:lineRule="exact"/>
        <w:jc w:val="center"/>
        <w:rPr>
          <w:rFonts w:ascii="Microsoft JhengHei" w:eastAsia="Microsoft JhengHei"/>
          <w:b/>
          <w:sz w:val="28"/>
        </w:rPr>
      </w:pPr>
      <w:r>
        <w:rPr>
          <w:rFonts w:hint="eastAsia" w:ascii="Microsoft JhengHei" w:eastAsia="Microsoft JhengHei"/>
          <w:b/>
          <w:sz w:val="28"/>
        </w:rPr>
        <w:t>年  月  日</w:t>
      </w:r>
    </w:p>
    <w:p>
      <w:pPr>
        <w:spacing w:line="484" w:lineRule="exact"/>
        <w:jc w:val="center"/>
        <w:rPr>
          <w:rFonts w:ascii="Microsoft JhengHei" w:eastAsia="Microsoft JhengHei"/>
          <w:sz w:val="28"/>
        </w:rPr>
        <w:sectPr>
          <w:pgSz w:w="12240" w:h="15840"/>
          <w:pgMar w:top="1361" w:right="1474" w:bottom="1361" w:left="1474" w:header="720" w:footer="720" w:gutter="0"/>
          <w:cols w:space="720" w:num="1"/>
        </w:sectPr>
      </w:pPr>
    </w:p>
    <w:p>
      <w:pPr>
        <w:spacing w:before="25"/>
        <w:ind w:right="139"/>
        <w:jc w:val="center"/>
        <w:rPr>
          <w:sz w:val="36"/>
        </w:rPr>
      </w:pPr>
      <w:r>
        <w:rPr>
          <w:sz w:val="36"/>
        </w:rPr>
        <w:t>投标函</w:t>
      </w:r>
    </w:p>
    <w:p>
      <w:pPr>
        <w:pStyle w:val="13"/>
        <w:spacing w:line="360" w:lineRule="auto"/>
        <w:rPr>
          <w:sz w:val="23"/>
          <w:szCs w:val="23"/>
        </w:rPr>
      </w:pPr>
      <w:r>
        <w:rPr>
          <w:sz w:val="23"/>
          <w:szCs w:val="23"/>
        </w:rPr>
        <w:t>致：</w:t>
      </w:r>
      <w:r>
        <w:rPr>
          <w:sz w:val="23"/>
          <w:szCs w:val="23"/>
          <w:u w:val="single"/>
        </w:rPr>
        <w:t>（招标人名称）</w:t>
      </w:r>
    </w:p>
    <w:p>
      <w:pPr>
        <w:pStyle w:val="13"/>
        <w:spacing w:line="360" w:lineRule="auto"/>
        <w:ind w:firstLine="460" w:firstLineChars="200"/>
        <w:rPr>
          <w:sz w:val="23"/>
          <w:szCs w:val="23"/>
        </w:rPr>
      </w:pPr>
      <w:r>
        <w:rPr>
          <w:sz w:val="23"/>
          <w:szCs w:val="23"/>
        </w:rPr>
        <w:t>1、我方在仔细研究了</w:t>
      </w:r>
      <w:r>
        <w:rPr>
          <w:sz w:val="23"/>
          <w:szCs w:val="23"/>
          <w:u w:val="single"/>
        </w:rPr>
        <w:t>（项目名称）</w:t>
      </w:r>
      <w:r>
        <w:rPr>
          <w:sz w:val="23"/>
          <w:szCs w:val="23"/>
        </w:rPr>
        <w:t>的招标文件并了解该项目基本情况后，决定参加该项目投标。在此郑重表示，我们愿意按照招标文件确定的投入力量和工作方案、遵照招标文件规定的责任和义务、并以人民币（大写</w:t>
      </w:r>
      <w:r>
        <w:rPr>
          <w:sz w:val="23"/>
          <w:szCs w:val="23"/>
          <w:u w:val="single"/>
        </w:rPr>
        <w:t>）</w:t>
      </w:r>
      <w:r>
        <w:rPr>
          <w:sz w:val="23"/>
          <w:szCs w:val="23"/>
        </w:rPr>
        <w:t>（</w:t>
      </w:r>
      <w:r>
        <w:rPr>
          <w:rFonts w:hint="eastAsia"/>
          <w:sz w:val="23"/>
          <w:szCs w:val="23"/>
          <w:lang w:val="en-US"/>
        </w:rPr>
        <w:t>¥元</w:t>
      </w:r>
      <w:r>
        <w:rPr>
          <w:sz w:val="23"/>
          <w:szCs w:val="23"/>
        </w:rPr>
        <w:t>）的</w:t>
      </w:r>
      <w:r>
        <w:rPr>
          <w:rFonts w:hint="eastAsia"/>
          <w:sz w:val="23"/>
          <w:szCs w:val="23"/>
          <w:lang w:val="en-US"/>
        </w:rPr>
        <w:t>服务费</w:t>
      </w:r>
      <w:r>
        <w:rPr>
          <w:sz w:val="23"/>
          <w:szCs w:val="23"/>
        </w:rPr>
        <w:t>总价</w:t>
      </w:r>
      <w:r>
        <w:rPr>
          <w:rFonts w:hint="eastAsia"/>
        </w:rPr>
        <w:t>（其中增值税税率为</w:t>
      </w:r>
      <w:r>
        <w:t>%</w:t>
      </w:r>
      <w:r>
        <w:rPr>
          <w:rFonts w:hint="eastAsia"/>
        </w:rPr>
        <w:t>）</w:t>
      </w:r>
      <w:r>
        <w:rPr>
          <w:sz w:val="23"/>
          <w:szCs w:val="23"/>
        </w:rPr>
        <w:t>投标，承担本项目的服务工作。</w:t>
      </w:r>
    </w:p>
    <w:p>
      <w:pPr>
        <w:pStyle w:val="13"/>
        <w:spacing w:line="360" w:lineRule="auto"/>
        <w:ind w:firstLine="460" w:firstLineChars="200"/>
        <w:rPr>
          <w:sz w:val="23"/>
          <w:szCs w:val="23"/>
        </w:rPr>
      </w:pPr>
    </w:p>
    <w:p>
      <w:pPr>
        <w:pStyle w:val="13"/>
        <w:spacing w:line="360" w:lineRule="auto"/>
        <w:ind w:firstLine="460" w:firstLineChars="200"/>
        <w:rPr>
          <w:sz w:val="23"/>
          <w:szCs w:val="23"/>
        </w:rPr>
      </w:pPr>
      <w:r>
        <w:rPr>
          <w:sz w:val="23"/>
          <w:szCs w:val="23"/>
        </w:rPr>
        <w:t xml:space="preserve">投标人：（盖单位章） </w:t>
      </w:r>
    </w:p>
    <w:p>
      <w:pPr>
        <w:pStyle w:val="13"/>
        <w:spacing w:line="360" w:lineRule="auto"/>
        <w:ind w:firstLine="460" w:firstLineChars="200"/>
        <w:rPr>
          <w:sz w:val="23"/>
          <w:szCs w:val="23"/>
        </w:rPr>
      </w:pPr>
      <w:r>
        <w:rPr>
          <w:sz w:val="23"/>
          <w:szCs w:val="23"/>
        </w:rPr>
        <w:t xml:space="preserve">法定代表人或其委托代理人：（签字） </w:t>
      </w:r>
    </w:p>
    <w:p>
      <w:pPr>
        <w:pStyle w:val="13"/>
        <w:spacing w:line="360" w:lineRule="auto"/>
        <w:ind w:firstLine="460" w:firstLineChars="200"/>
        <w:rPr>
          <w:sz w:val="23"/>
          <w:szCs w:val="23"/>
        </w:rPr>
      </w:pPr>
    </w:p>
    <w:p>
      <w:pPr>
        <w:pStyle w:val="13"/>
        <w:spacing w:line="360" w:lineRule="auto"/>
        <w:ind w:firstLine="460" w:firstLineChars="200"/>
        <w:rPr>
          <w:sz w:val="25"/>
          <w:lang w:val="en-US"/>
        </w:rPr>
      </w:pPr>
      <w:r>
        <w:rPr>
          <w:sz w:val="23"/>
          <w:szCs w:val="23"/>
        </w:rPr>
        <w:t>日期： 年 月 日</w:t>
      </w:r>
    </w:p>
    <w:sectPr>
      <w:pgSz w:w="11910" w:h="16840"/>
      <w:pgMar w:top="1361" w:right="1474" w:bottom="1361" w:left="147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Courier New">
    <w:panose1 w:val="02070309020205020404"/>
    <w:charset w:val="00"/>
    <w:family w:val="modern"/>
    <w:pitch w:val="default"/>
    <w:sig w:usb0="E0002EFF" w:usb1="C0007843" w:usb2="00000009" w:usb3="00000000" w:csb0="400001FF" w:csb1="FFFF0000"/>
  </w:font>
  <w:font w:name="Microsoft JhengHei Light">
    <w:panose1 w:val="020B0304030504040204"/>
    <w:charset w:val="88"/>
    <w:family w:val="swiss"/>
    <w:pitch w:val="default"/>
    <w:sig w:usb0="800002A7" w:usb1="28CF4400" w:usb2="00000016" w:usb3="00000000" w:csb0="00100009" w:csb1="00000000"/>
  </w:font>
  <w:font w:name="微软雅黑">
    <w:panose1 w:val="020B0503020204020204"/>
    <w:charset w:val="86"/>
    <w:family w:val="swiss"/>
    <w:pitch w:val="default"/>
    <w:sig w:usb0="80000287" w:usb1="2ACF3C50" w:usb2="00000016" w:usb3="00000000" w:csb0="0004001F" w:csb1="00000000"/>
  </w:font>
  <w:font w:name="Malgun Gothic">
    <w:panose1 w:val="020B0503020000020004"/>
    <w:charset w:val="81"/>
    <w:family w:val="swiss"/>
    <w:pitch w:val="default"/>
    <w:sig w:usb0="9000002F" w:usb1="29D77CFB" w:usb2="00000012" w:usb3="00000000" w:csb0="0008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251DF4"/>
    <w:multiLevelType w:val="multilevel"/>
    <w:tmpl w:val="04251DF4"/>
    <w:lvl w:ilvl="0" w:tentative="0">
      <w:start w:val="19"/>
      <w:numFmt w:val="decimal"/>
      <w:lvlText w:val="%1"/>
      <w:lvlJc w:val="left"/>
      <w:pPr>
        <w:ind w:left="1225" w:hanging="561"/>
      </w:pPr>
      <w:rPr>
        <w:rFonts w:hint="default"/>
        <w:lang w:val="zh-CN" w:eastAsia="zh-CN" w:bidi="zh-CN"/>
      </w:rPr>
    </w:lvl>
    <w:lvl w:ilvl="1" w:tentative="0">
      <w:start w:val="4"/>
      <w:numFmt w:val="decimal"/>
      <w:lvlText w:val="%1.%2"/>
      <w:lvlJc w:val="left"/>
      <w:pPr>
        <w:ind w:left="1225" w:hanging="561"/>
      </w:pPr>
      <w:rPr>
        <w:rFonts w:hint="default" w:ascii="宋体" w:hAnsi="宋体" w:eastAsia="宋体" w:cs="宋体"/>
        <w:w w:val="100"/>
        <w:sz w:val="23"/>
        <w:szCs w:val="23"/>
        <w:lang w:val="zh-CN" w:eastAsia="zh-CN" w:bidi="zh-CN"/>
      </w:rPr>
    </w:lvl>
    <w:lvl w:ilvl="2" w:tentative="0">
      <w:start w:val="0"/>
      <w:numFmt w:val="bullet"/>
      <w:lvlText w:val="•"/>
      <w:lvlJc w:val="left"/>
      <w:pPr>
        <w:ind w:left="2913" w:hanging="561"/>
      </w:pPr>
      <w:rPr>
        <w:rFonts w:hint="default"/>
        <w:lang w:val="zh-CN" w:eastAsia="zh-CN" w:bidi="zh-CN"/>
      </w:rPr>
    </w:lvl>
    <w:lvl w:ilvl="3" w:tentative="0">
      <w:start w:val="0"/>
      <w:numFmt w:val="bullet"/>
      <w:lvlText w:val="•"/>
      <w:lvlJc w:val="left"/>
      <w:pPr>
        <w:ind w:left="3759" w:hanging="561"/>
      </w:pPr>
      <w:rPr>
        <w:rFonts w:hint="default"/>
        <w:lang w:val="zh-CN" w:eastAsia="zh-CN" w:bidi="zh-CN"/>
      </w:rPr>
    </w:lvl>
    <w:lvl w:ilvl="4" w:tentative="0">
      <w:start w:val="0"/>
      <w:numFmt w:val="bullet"/>
      <w:lvlText w:val="•"/>
      <w:lvlJc w:val="left"/>
      <w:pPr>
        <w:ind w:left="4606" w:hanging="561"/>
      </w:pPr>
      <w:rPr>
        <w:rFonts w:hint="default"/>
        <w:lang w:val="zh-CN" w:eastAsia="zh-CN" w:bidi="zh-CN"/>
      </w:rPr>
    </w:lvl>
    <w:lvl w:ilvl="5" w:tentative="0">
      <w:start w:val="0"/>
      <w:numFmt w:val="bullet"/>
      <w:lvlText w:val="•"/>
      <w:lvlJc w:val="left"/>
      <w:pPr>
        <w:ind w:left="5453" w:hanging="561"/>
      </w:pPr>
      <w:rPr>
        <w:rFonts w:hint="default"/>
        <w:lang w:val="zh-CN" w:eastAsia="zh-CN" w:bidi="zh-CN"/>
      </w:rPr>
    </w:lvl>
    <w:lvl w:ilvl="6" w:tentative="0">
      <w:start w:val="0"/>
      <w:numFmt w:val="bullet"/>
      <w:lvlText w:val="•"/>
      <w:lvlJc w:val="left"/>
      <w:pPr>
        <w:ind w:left="6299" w:hanging="561"/>
      </w:pPr>
      <w:rPr>
        <w:rFonts w:hint="default"/>
        <w:lang w:val="zh-CN" w:eastAsia="zh-CN" w:bidi="zh-CN"/>
      </w:rPr>
    </w:lvl>
    <w:lvl w:ilvl="7" w:tentative="0">
      <w:start w:val="0"/>
      <w:numFmt w:val="bullet"/>
      <w:lvlText w:val="•"/>
      <w:lvlJc w:val="left"/>
      <w:pPr>
        <w:ind w:left="7146" w:hanging="561"/>
      </w:pPr>
      <w:rPr>
        <w:rFonts w:hint="default"/>
        <w:lang w:val="zh-CN" w:eastAsia="zh-CN" w:bidi="zh-CN"/>
      </w:rPr>
    </w:lvl>
    <w:lvl w:ilvl="8" w:tentative="0">
      <w:start w:val="0"/>
      <w:numFmt w:val="bullet"/>
      <w:lvlText w:val="•"/>
      <w:lvlJc w:val="left"/>
      <w:pPr>
        <w:ind w:left="7992" w:hanging="561"/>
      </w:pPr>
      <w:rPr>
        <w:rFonts w:hint="default"/>
        <w:lang w:val="zh-CN" w:eastAsia="zh-CN" w:bidi="zh-CN"/>
      </w:rPr>
    </w:lvl>
  </w:abstractNum>
  <w:abstractNum w:abstractNumId="1">
    <w:nsid w:val="0D15193E"/>
    <w:multiLevelType w:val="multilevel"/>
    <w:tmpl w:val="0D15193E"/>
    <w:lvl w:ilvl="0" w:tentative="0">
      <w:start w:val="11"/>
      <w:numFmt w:val="decimal"/>
      <w:lvlText w:val="%1"/>
      <w:lvlJc w:val="left"/>
      <w:pPr>
        <w:ind w:left="1214" w:hanging="630"/>
      </w:pPr>
      <w:rPr>
        <w:rFonts w:hint="default"/>
        <w:lang w:val="zh-CN" w:eastAsia="zh-CN" w:bidi="zh-CN"/>
      </w:rPr>
    </w:lvl>
    <w:lvl w:ilvl="1" w:tentative="0">
      <w:start w:val="1"/>
      <w:numFmt w:val="decimal"/>
      <w:lvlText w:val="%1.%2"/>
      <w:lvlJc w:val="left"/>
      <w:pPr>
        <w:ind w:left="1623" w:hanging="630"/>
      </w:pPr>
      <w:rPr>
        <w:rFonts w:hint="default" w:ascii="宋体" w:hAnsi="宋体" w:eastAsia="宋体" w:cs="宋体"/>
        <w:w w:val="100"/>
        <w:sz w:val="23"/>
        <w:szCs w:val="23"/>
        <w:lang w:val="zh-CN" w:eastAsia="zh-CN" w:bidi="zh-CN"/>
      </w:rPr>
    </w:lvl>
    <w:lvl w:ilvl="2" w:tentative="0">
      <w:start w:val="0"/>
      <w:numFmt w:val="bullet"/>
      <w:lvlText w:val="•"/>
      <w:lvlJc w:val="left"/>
      <w:pPr>
        <w:ind w:left="2913" w:hanging="630"/>
      </w:pPr>
      <w:rPr>
        <w:rFonts w:hint="default"/>
        <w:lang w:val="zh-CN" w:eastAsia="zh-CN" w:bidi="zh-CN"/>
      </w:rPr>
    </w:lvl>
    <w:lvl w:ilvl="3" w:tentative="0">
      <w:start w:val="0"/>
      <w:numFmt w:val="bullet"/>
      <w:lvlText w:val="•"/>
      <w:lvlJc w:val="left"/>
      <w:pPr>
        <w:ind w:left="3759" w:hanging="630"/>
      </w:pPr>
      <w:rPr>
        <w:rFonts w:hint="default"/>
        <w:lang w:val="zh-CN" w:eastAsia="zh-CN" w:bidi="zh-CN"/>
      </w:rPr>
    </w:lvl>
    <w:lvl w:ilvl="4" w:tentative="0">
      <w:start w:val="0"/>
      <w:numFmt w:val="bullet"/>
      <w:lvlText w:val="•"/>
      <w:lvlJc w:val="left"/>
      <w:pPr>
        <w:ind w:left="4606" w:hanging="630"/>
      </w:pPr>
      <w:rPr>
        <w:rFonts w:hint="default"/>
        <w:lang w:val="zh-CN" w:eastAsia="zh-CN" w:bidi="zh-CN"/>
      </w:rPr>
    </w:lvl>
    <w:lvl w:ilvl="5" w:tentative="0">
      <w:start w:val="0"/>
      <w:numFmt w:val="bullet"/>
      <w:lvlText w:val="•"/>
      <w:lvlJc w:val="left"/>
      <w:pPr>
        <w:ind w:left="5453" w:hanging="630"/>
      </w:pPr>
      <w:rPr>
        <w:rFonts w:hint="default"/>
        <w:lang w:val="zh-CN" w:eastAsia="zh-CN" w:bidi="zh-CN"/>
      </w:rPr>
    </w:lvl>
    <w:lvl w:ilvl="6" w:tentative="0">
      <w:start w:val="0"/>
      <w:numFmt w:val="bullet"/>
      <w:lvlText w:val="•"/>
      <w:lvlJc w:val="left"/>
      <w:pPr>
        <w:ind w:left="6299" w:hanging="630"/>
      </w:pPr>
      <w:rPr>
        <w:rFonts w:hint="default"/>
        <w:lang w:val="zh-CN" w:eastAsia="zh-CN" w:bidi="zh-CN"/>
      </w:rPr>
    </w:lvl>
    <w:lvl w:ilvl="7" w:tentative="0">
      <w:start w:val="0"/>
      <w:numFmt w:val="bullet"/>
      <w:lvlText w:val="•"/>
      <w:lvlJc w:val="left"/>
      <w:pPr>
        <w:ind w:left="7146" w:hanging="630"/>
      </w:pPr>
      <w:rPr>
        <w:rFonts w:hint="default"/>
        <w:lang w:val="zh-CN" w:eastAsia="zh-CN" w:bidi="zh-CN"/>
      </w:rPr>
    </w:lvl>
    <w:lvl w:ilvl="8" w:tentative="0">
      <w:start w:val="0"/>
      <w:numFmt w:val="bullet"/>
      <w:lvlText w:val="•"/>
      <w:lvlJc w:val="left"/>
      <w:pPr>
        <w:ind w:left="7992" w:hanging="630"/>
      </w:pPr>
      <w:rPr>
        <w:rFonts w:hint="default"/>
        <w:lang w:val="zh-CN" w:eastAsia="zh-CN" w:bidi="zh-CN"/>
      </w:rPr>
    </w:lvl>
  </w:abstractNum>
  <w:abstractNum w:abstractNumId="2">
    <w:nsid w:val="0E8703BE"/>
    <w:multiLevelType w:val="multilevel"/>
    <w:tmpl w:val="0E8703BE"/>
    <w:lvl w:ilvl="0" w:tentative="0">
      <w:start w:val="1"/>
      <w:numFmt w:val="decimal"/>
      <w:lvlText w:val="%1、"/>
      <w:lvlJc w:val="left"/>
      <w:pPr>
        <w:ind w:left="370" w:hanging="360"/>
      </w:pPr>
      <w:rPr>
        <w:rFonts w:hint="default"/>
      </w:rPr>
    </w:lvl>
    <w:lvl w:ilvl="1" w:tentative="0">
      <w:start w:val="1"/>
      <w:numFmt w:val="lowerLetter"/>
      <w:lvlText w:val="%2)"/>
      <w:lvlJc w:val="left"/>
      <w:pPr>
        <w:ind w:left="850" w:hanging="420"/>
      </w:pPr>
    </w:lvl>
    <w:lvl w:ilvl="2" w:tentative="0">
      <w:start w:val="1"/>
      <w:numFmt w:val="lowerRoman"/>
      <w:lvlText w:val="%3."/>
      <w:lvlJc w:val="right"/>
      <w:pPr>
        <w:ind w:left="1270" w:hanging="420"/>
      </w:pPr>
    </w:lvl>
    <w:lvl w:ilvl="3" w:tentative="0">
      <w:start w:val="1"/>
      <w:numFmt w:val="decimal"/>
      <w:lvlText w:val="%4."/>
      <w:lvlJc w:val="left"/>
      <w:pPr>
        <w:ind w:left="1690" w:hanging="420"/>
      </w:pPr>
    </w:lvl>
    <w:lvl w:ilvl="4" w:tentative="0">
      <w:start w:val="1"/>
      <w:numFmt w:val="lowerLetter"/>
      <w:lvlText w:val="%5)"/>
      <w:lvlJc w:val="left"/>
      <w:pPr>
        <w:ind w:left="2110" w:hanging="420"/>
      </w:pPr>
    </w:lvl>
    <w:lvl w:ilvl="5" w:tentative="0">
      <w:start w:val="1"/>
      <w:numFmt w:val="lowerRoman"/>
      <w:lvlText w:val="%6."/>
      <w:lvlJc w:val="right"/>
      <w:pPr>
        <w:ind w:left="2530" w:hanging="420"/>
      </w:pPr>
    </w:lvl>
    <w:lvl w:ilvl="6" w:tentative="0">
      <w:start w:val="1"/>
      <w:numFmt w:val="decimal"/>
      <w:lvlText w:val="%7."/>
      <w:lvlJc w:val="left"/>
      <w:pPr>
        <w:ind w:left="2950" w:hanging="420"/>
      </w:pPr>
    </w:lvl>
    <w:lvl w:ilvl="7" w:tentative="0">
      <w:start w:val="1"/>
      <w:numFmt w:val="lowerLetter"/>
      <w:lvlText w:val="%8)"/>
      <w:lvlJc w:val="left"/>
      <w:pPr>
        <w:ind w:left="3370" w:hanging="420"/>
      </w:pPr>
    </w:lvl>
    <w:lvl w:ilvl="8" w:tentative="0">
      <w:start w:val="1"/>
      <w:numFmt w:val="lowerRoman"/>
      <w:lvlText w:val="%9."/>
      <w:lvlJc w:val="right"/>
      <w:pPr>
        <w:ind w:left="3790" w:hanging="420"/>
      </w:pPr>
    </w:lvl>
  </w:abstractNum>
  <w:abstractNum w:abstractNumId="3">
    <w:nsid w:val="145C3E3C"/>
    <w:multiLevelType w:val="multilevel"/>
    <w:tmpl w:val="145C3E3C"/>
    <w:lvl w:ilvl="0" w:tentative="0">
      <w:start w:val="1"/>
      <w:numFmt w:val="decimal"/>
      <w:lvlText w:val="（%1）"/>
      <w:lvlJc w:val="left"/>
      <w:pPr>
        <w:ind w:left="1285" w:hanging="701"/>
      </w:pPr>
      <w:rPr>
        <w:rFonts w:hint="default" w:ascii="宋体" w:hAnsi="宋体" w:eastAsia="宋体" w:cs="宋体"/>
        <w:w w:val="100"/>
        <w:sz w:val="26"/>
        <w:szCs w:val="26"/>
        <w:lang w:val="zh-CN" w:eastAsia="zh-CN" w:bidi="zh-CN"/>
      </w:rPr>
    </w:lvl>
    <w:lvl w:ilvl="1" w:tentative="0">
      <w:start w:val="0"/>
      <w:numFmt w:val="bullet"/>
      <w:lvlText w:val="•"/>
      <w:lvlJc w:val="left"/>
      <w:pPr>
        <w:ind w:left="2120" w:hanging="701"/>
      </w:pPr>
      <w:rPr>
        <w:rFonts w:hint="default"/>
        <w:lang w:val="zh-CN" w:eastAsia="zh-CN" w:bidi="zh-CN"/>
      </w:rPr>
    </w:lvl>
    <w:lvl w:ilvl="2" w:tentative="0">
      <w:start w:val="0"/>
      <w:numFmt w:val="bullet"/>
      <w:lvlText w:val="•"/>
      <w:lvlJc w:val="left"/>
      <w:pPr>
        <w:ind w:left="2961" w:hanging="701"/>
      </w:pPr>
      <w:rPr>
        <w:rFonts w:hint="default"/>
        <w:lang w:val="zh-CN" w:eastAsia="zh-CN" w:bidi="zh-CN"/>
      </w:rPr>
    </w:lvl>
    <w:lvl w:ilvl="3" w:tentative="0">
      <w:start w:val="0"/>
      <w:numFmt w:val="bullet"/>
      <w:lvlText w:val="•"/>
      <w:lvlJc w:val="left"/>
      <w:pPr>
        <w:ind w:left="3801" w:hanging="701"/>
      </w:pPr>
      <w:rPr>
        <w:rFonts w:hint="default"/>
        <w:lang w:val="zh-CN" w:eastAsia="zh-CN" w:bidi="zh-CN"/>
      </w:rPr>
    </w:lvl>
    <w:lvl w:ilvl="4" w:tentative="0">
      <w:start w:val="0"/>
      <w:numFmt w:val="bullet"/>
      <w:lvlText w:val="•"/>
      <w:lvlJc w:val="left"/>
      <w:pPr>
        <w:ind w:left="4642" w:hanging="701"/>
      </w:pPr>
      <w:rPr>
        <w:rFonts w:hint="default"/>
        <w:lang w:val="zh-CN" w:eastAsia="zh-CN" w:bidi="zh-CN"/>
      </w:rPr>
    </w:lvl>
    <w:lvl w:ilvl="5" w:tentative="0">
      <w:start w:val="0"/>
      <w:numFmt w:val="bullet"/>
      <w:lvlText w:val="•"/>
      <w:lvlJc w:val="left"/>
      <w:pPr>
        <w:ind w:left="5483" w:hanging="701"/>
      </w:pPr>
      <w:rPr>
        <w:rFonts w:hint="default"/>
        <w:lang w:val="zh-CN" w:eastAsia="zh-CN" w:bidi="zh-CN"/>
      </w:rPr>
    </w:lvl>
    <w:lvl w:ilvl="6" w:tentative="0">
      <w:start w:val="0"/>
      <w:numFmt w:val="bullet"/>
      <w:lvlText w:val="•"/>
      <w:lvlJc w:val="left"/>
      <w:pPr>
        <w:ind w:left="6323" w:hanging="701"/>
      </w:pPr>
      <w:rPr>
        <w:rFonts w:hint="default"/>
        <w:lang w:val="zh-CN" w:eastAsia="zh-CN" w:bidi="zh-CN"/>
      </w:rPr>
    </w:lvl>
    <w:lvl w:ilvl="7" w:tentative="0">
      <w:start w:val="0"/>
      <w:numFmt w:val="bullet"/>
      <w:lvlText w:val="•"/>
      <w:lvlJc w:val="left"/>
      <w:pPr>
        <w:ind w:left="7164" w:hanging="701"/>
      </w:pPr>
      <w:rPr>
        <w:rFonts w:hint="default"/>
        <w:lang w:val="zh-CN" w:eastAsia="zh-CN" w:bidi="zh-CN"/>
      </w:rPr>
    </w:lvl>
    <w:lvl w:ilvl="8" w:tentative="0">
      <w:start w:val="0"/>
      <w:numFmt w:val="bullet"/>
      <w:lvlText w:val="•"/>
      <w:lvlJc w:val="left"/>
      <w:pPr>
        <w:ind w:left="8004" w:hanging="701"/>
      </w:pPr>
      <w:rPr>
        <w:rFonts w:hint="default"/>
        <w:lang w:val="zh-CN" w:eastAsia="zh-CN" w:bidi="zh-CN"/>
      </w:rPr>
    </w:lvl>
  </w:abstractNum>
  <w:abstractNum w:abstractNumId="4">
    <w:nsid w:val="169C2035"/>
    <w:multiLevelType w:val="multilevel"/>
    <w:tmpl w:val="169C2035"/>
    <w:lvl w:ilvl="0" w:tentative="0">
      <w:start w:val="1"/>
      <w:numFmt w:val="decimal"/>
      <w:lvlText w:val="（%1）"/>
      <w:lvlJc w:val="left"/>
      <w:pPr>
        <w:ind w:left="278" w:hanging="601"/>
      </w:pPr>
      <w:rPr>
        <w:rFonts w:hint="default" w:ascii="宋体" w:hAnsi="宋体" w:eastAsia="宋体" w:cs="宋体"/>
        <w:spacing w:val="-19"/>
        <w:w w:val="100"/>
        <w:sz w:val="22"/>
        <w:szCs w:val="22"/>
        <w:lang w:val="zh-CN" w:eastAsia="zh-CN" w:bidi="zh-CN"/>
      </w:rPr>
    </w:lvl>
    <w:lvl w:ilvl="1" w:tentative="0">
      <w:start w:val="0"/>
      <w:numFmt w:val="bullet"/>
      <w:lvlText w:val="•"/>
      <w:lvlJc w:val="left"/>
      <w:pPr>
        <w:ind w:left="1262" w:hanging="601"/>
      </w:pPr>
      <w:rPr>
        <w:rFonts w:hint="default"/>
        <w:lang w:val="zh-CN" w:eastAsia="zh-CN" w:bidi="zh-CN"/>
      </w:rPr>
    </w:lvl>
    <w:lvl w:ilvl="2" w:tentative="0">
      <w:start w:val="0"/>
      <w:numFmt w:val="bullet"/>
      <w:lvlText w:val="•"/>
      <w:lvlJc w:val="left"/>
      <w:pPr>
        <w:ind w:left="2245" w:hanging="601"/>
      </w:pPr>
      <w:rPr>
        <w:rFonts w:hint="default"/>
        <w:lang w:val="zh-CN" w:eastAsia="zh-CN" w:bidi="zh-CN"/>
      </w:rPr>
    </w:lvl>
    <w:lvl w:ilvl="3" w:tentative="0">
      <w:start w:val="0"/>
      <w:numFmt w:val="bullet"/>
      <w:lvlText w:val="•"/>
      <w:lvlJc w:val="left"/>
      <w:pPr>
        <w:ind w:left="3227" w:hanging="601"/>
      </w:pPr>
      <w:rPr>
        <w:rFonts w:hint="default"/>
        <w:lang w:val="zh-CN" w:eastAsia="zh-CN" w:bidi="zh-CN"/>
      </w:rPr>
    </w:lvl>
    <w:lvl w:ilvl="4" w:tentative="0">
      <w:start w:val="0"/>
      <w:numFmt w:val="bullet"/>
      <w:lvlText w:val="•"/>
      <w:lvlJc w:val="left"/>
      <w:pPr>
        <w:ind w:left="4210" w:hanging="601"/>
      </w:pPr>
      <w:rPr>
        <w:rFonts w:hint="default"/>
        <w:lang w:val="zh-CN" w:eastAsia="zh-CN" w:bidi="zh-CN"/>
      </w:rPr>
    </w:lvl>
    <w:lvl w:ilvl="5" w:tentative="0">
      <w:start w:val="0"/>
      <w:numFmt w:val="bullet"/>
      <w:lvlText w:val="•"/>
      <w:lvlJc w:val="left"/>
      <w:pPr>
        <w:ind w:left="5193" w:hanging="601"/>
      </w:pPr>
      <w:rPr>
        <w:rFonts w:hint="default"/>
        <w:lang w:val="zh-CN" w:eastAsia="zh-CN" w:bidi="zh-CN"/>
      </w:rPr>
    </w:lvl>
    <w:lvl w:ilvl="6" w:tentative="0">
      <w:start w:val="0"/>
      <w:numFmt w:val="bullet"/>
      <w:lvlText w:val="•"/>
      <w:lvlJc w:val="left"/>
      <w:pPr>
        <w:ind w:left="6175" w:hanging="601"/>
      </w:pPr>
      <w:rPr>
        <w:rFonts w:hint="default"/>
        <w:lang w:val="zh-CN" w:eastAsia="zh-CN" w:bidi="zh-CN"/>
      </w:rPr>
    </w:lvl>
    <w:lvl w:ilvl="7" w:tentative="0">
      <w:start w:val="0"/>
      <w:numFmt w:val="bullet"/>
      <w:lvlText w:val="•"/>
      <w:lvlJc w:val="left"/>
      <w:pPr>
        <w:ind w:left="7158" w:hanging="601"/>
      </w:pPr>
      <w:rPr>
        <w:rFonts w:hint="default"/>
        <w:lang w:val="zh-CN" w:eastAsia="zh-CN" w:bidi="zh-CN"/>
      </w:rPr>
    </w:lvl>
    <w:lvl w:ilvl="8" w:tentative="0">
      <w:start w:val="0"/>
      <w:numFmt w:val="bullet"/>
      <w:lvlText w:val="•"/>
      <w:lvlJc w:val="left"/>
      <w:pPr>
        <w:ind w:left="8140" w:hanging="601"/>
      </w:pPr>
      <w:rPr>
        <w:rFonts w:hint="default"/>
        <w:lang w:val="zh-CN" w:eastAsia="zh-CN" w:bidi="zh-CN"/>
      </w:rPr>
    </w:lvl>
  </w:abstractNum>
  <w:abstractNum w:abstractNumId="5">
    <w:nsid w:val="190F0BA0"/>
    <w:multiLevelType w:val="multilevel"/>
    <w:tmpl w:val="190F0BA0"/>
    <w:lvl w:ilvl="0" w:tentative="0">
      <w:start w:val="1"/>
      <w:numFmt w:val="decimal"/>
      <w:lvlText w:val="%1"/>
      <w:lvlJc w:val="left"/>
      <w:pPr>
        <w:ind w:left="1005" w:hanging="421"/>
      </w:pPr>
      <w:rPr>
        <w:rFonts w:hint="default"/>
        <w:lang w:val="zh-CN" w:eastAsia="zh-CN" w:bidi="zh-CN"/>
      </w:rPr>
    </w:lvl>
    <w:lvl w:ilvl="1" w:tentative="0">
      <w:start w:val="1"/>
      <w:numFmt w:val="decimal"/>
      <w:lvlText w:val="%1.%2"/>
      <w:lvlJc w:val="left"/>
      <w:pPr>
        <w:ind w:left="1005" w:hanging="421"/>
      </w:pPr>
      <w:rPr>
        <w:rFonts w:hint="default" w:ascii="宋体" w:hAnsi="宋体" w:eastAsia="宋体" w:cs="宋体"/>
        <w:w w:val="100"/>
        <w:sz w:val="23"/>
        <w:szCs w:val="23"/>
        <w:lang w:val="zh-CN" w:eastAsia="zh-CN" w:bidi="zh-CN"/>
      </w:rPr>
    </w:lvl>
    <w:lvl w:ilvl="2" w:tentative="0">
      <w:start w:val="0"/>
      <w:numFmt w:val="bullet"/>
      <w:lvlText w:val="•"/>
      <w:lvlJc w:val="left"/>
      <w:pPr>
        <w:ind w:left="2737" w:hanging="421"/>
      </w:pPr>
      <w:rPr>
        <w:rFonts w:hint="default"/>
        <w:lang w:val="zh-CN" w:eastAsia="zh-CN" w:bidi="zh-CN"/>
      </w:rPr>
    </w:lvl>
    <w:lvl w:ilvl="3" w:tentative="0">
      <w:start w:val="0"/>
      <w:numFmt w:val="bullet"/>
      <w:lvlText w:val="•"/>
      <w:lvlJc w:val="left"/>
      <w:pPr>
        <w:ind w:left="3605" w:hanging="421"/>
      </w:pPr>
      <w:rPr>
        <w:rFonts w:hint="default"/>
        <w:lang w:val="zh-CN" w:eastAsia="zh-CN" w:bidi="zh-CN"/>
      </w:rPr>
    </w:lvl>
    <w:lvl w:ilvl="4" w:tentative="0">
      <w:start w:val="0"/>
      <w:numFmt w:val="bullet"/>
      <w:lvlText w:val="•"/>
      <w:lvlJc w:val="left"/>
      <w:pPr>
        <w:ind w:left="4474" w:hanging="421"/>
      </w:pPr>
      <w:rPr>
        <w:rFonts w:hint="default"/>
        <w:lang w:val="zh-CN" w:eastAsia="zh-CN" w:bidi="zh-CN"/>
      </w:rPr>
    </w:lvl>
    <w:lvl w:ilvl="5" w:tentative="0">
      <w:start w:val="0"/>
      <w:numFmt w:val="bullet"/>
      <w:lvlText w:val="•"/>
      <w:lvlJc w:val="left"/>
      <w:pPr>
        <w:ind w:left="5343" w:hanging="421"/>
      </w:pPr>
      <w:rPr>
        <w:rFonts w:hint="default"/>
        <w:lang w:val="zh-CN" w:eastAsia="zh-CN" w:bidi="zh-CN"/>
      </w:rPr>
    </w:lvl>
    <w:lvl w:ilvl="6" w:tentative="0">
      <w:start w:val="0"/>
      <w:numFmt w:val="bullet"/>
      <w:lvlText w:val="•"/>
      <w:lvlJc w:val="left"/>
      <w:pPr>
        <w:ind w:left="6211" w:hanging="421"/>
      </w:pPr>
      <w:rPr>
        <w:rFonts w:hint="default"/>
        <w:lang w:val="zh-CN" w:eastAsia="zh-CN" w:bidi="zh-CN"/>
      </w:rPr>
    </w:lvl>
    <w:lvl w:ilvl="7" w:tentative="0">
      <w:start w:val="0"/>
      <w:numFmt w:val="bullet"/>
      <w:lvlText w:val="•"/>
      <w:lvlJc w:val="left"/>
      <w:pPr>
        <w:ind w:left="7080" w:hanging="421"/>
      </w:pPr>
      <w:rPr>
        <w:rFonts w:hint="default"/>
        <w:lang w:val="zh-CN" w:eastAsia="zh-CN" w:bidi="zh-CN"/>
      </w:rPr>
    </w:lvl>
    <w:lvl w:ilvl="8" w:tentative="0">
      <w:start w:val="0"/>
      <w:numFmt w:val="bullet"/>
      <w:lvlText w:val="•"/>
      <w:lvlJc w:val="left"/>
      <w:pPr>
        <w:ind w:left="7948" w:hanging="421"/>
      </w:pPr>
      <w:rPr>
        <w:rFonts w:hint="default"/>
        <w:lang w:val="zh-CN" w:eastAsia="zh-CN" w:bidi="zh-CN"/>
      </w:rPr>
    </w:lvl>
  </w:abstractNum>
  <w:abstractNum w:abstractNumId="6">
    <w:nsid w:val="1F6641A8"/>
    <w:multiLevelType w:val="multilevel"/>
    <w:tmpl w:val="1F6641A8"/>
    <w:lvl w:ilvl="0" w:tentative="0">
      <w:start w:val="1"/>
      <w:numFmt w:val="decimal"/>
      <w:lvlText w:val="（%1）"/>
      <w:lvlJc w:val="left"/>
      <w:pPr>
        <w:ind w:left="1365" w:hanging="701"/>
      </w:pPr>
      <w:rPr>
        <w:rFonts w:hint="default" w:ascii="宋体" w:hAnsi="宋体" w:eastAsia="宋体" w:cs="宋体"/>
        <w:w w:val="100"/>
        <w:sz w:val="26"/>
        <w:szCs w:val="26"/>
        <w:lang w:val="zh-CN" w:eastAsia="zh-CN" w:bidi="zh-CN"/>
      </w:rPr>
    </w:lvl>
    <w:lvl w:ilvl="1" w:tentative="0">
      <w:start w:val="0"/>
      <w:numFmt w:val="bullet"/>
      <w:lvlText w:val="•"/>
      <w:lvlJc w:val="left"/>
      <w:pPr>
        <w:ind w:left="2192" w:hanging="701"/>
      </w:pPr>
      <w:rPr>
        <w:rFonts w:hint="default"/>
        <w:lang w:val="zh-CN" w:eastAsia="zh-CN" w:bidi="zh-CN"/>
      </w:rPr>
    </w:lvl>
    <w:lvl w:ilvl="2" w:tentative="0">
      <w:start w:val="0"/>
      <w:numFmt w:val="bullet"/>
      <w:lvlText w:val="•"/>
      <w:lvlJc w:val="left"/>
      <w:pPr>
        <w:ind w:left="3025" w:hanging="701"/>
      </w:pPr>
      <w:rPr>
        <w:rFonts w:hint="default"/>
        <w:lang w:val="zh-CN" w:eastAsia="zh-CN" w:bidi="zh-CN"/>
      </w:rPr>
    </w:lvl>
    <w:lvl w:ilvl="3" w:tentative="0">
      <w:start w:val="0"/>
      <w:numFmt w:val="bullet"/>
      <w:lvlText w:val="•"/>
      <w:lvlJc w:val="left"/>
      <w:pPr>
        <w:ind w:left="3857" w:hanging="701"/>
      </w:pPr>
      <w:rPr>
        <w:rFonts w:hint="default"/>
        <w:lang w:val="zh-CN" w:eastAsia="zh-CN" w:bidi="zh-CN"/>
      </w:rPr>
    </w:lvl>
    <w:lvl w:ilvl="4" w:tentative="0">
      <w:start w:val="0"/>
      <w:numFmt w:val="bullet"/>
      <w:lvlText w:val="•"/>
      <w:lvlJc w:val="left"/>
      <w:pPr>
        <w:ind w:left="4690" w:hanging="701"/>
      </w:pPr>
      <w:rPr>
        <w:rFonts w:hint="default"/>
        <w:lang w:val="zh-CN" w:eastAsia="zh-CN" w:bidi="zh-CN"/>
      </w:rPr>
    </w:lvl>
    <w:lvl w:ilvl="5" w:tentative="0">
      <w:start w:val="0"/>
      <w:numFmt w:val="bullet"/>
      <w:lvlText w:val="•"/>
      <w:lvlJc w:val="left"/>
      <w:pPr>
        <w:ind w:left="5523" w:hanging="701"/>
      </w:pPr>
      <w:rPr>
        <w:rFonts w:hint="default"/>
        <w:lang w:val="zh-CN" w:eastAsia="zh-CN" w:bidi="zh-CN"/>
      </w:rPr>
    </w:lvl>
    <w:lvl w:ilvl="6" w:tentative="0">
      <w:start w:val="0"/>
      <w:numFmt w:val="bullet"/>
      <w:lvlText w:val="•"/>
      <w:lvlJc w:val="left"/>
      <w:pPr>
        <w:ind w:left="6355" w:hanging="701"/>
      </w:pPr>
      <w:rPr>
        <w:rFonts w:hint="default"/>
        <w:lang w:val="zh-CN" w:eastAsia="zh-CN" w:bidi="zh-CN"/>
      </w:rPr>
    </w:lvl>
    <w:lvl w:ilvl="7" w:tentative="0">
      <w:start w:val="0"/>
      <w:numFmt w:val="bullet"/>
      <w:lvlText w:val="•"/>
      <w:lvlJc w:val="left"/>
      <w:pPr>
        <w:ind w:left="7188" w:hanging="701"/>
      </w:pPr>
      <w:rPr>
        <w:rFonts w:hint="default"/>
        <w:lang w:val="zh-CN" w:eastAsia="zh-CN" w:bidi="zh-CN"/>
      </w:rPr>
    </w:lvl>
    <w:lvl w:ilvl="8" w:tentative="0">
      <w:start w:val="0"/>
      <w:numFmt w:val="bullet"/>
      <w:lvlText w:val="•"/>
      <w:lvlJc w:val="left"/>
      <w:pPr>
        <w:ind w:left="8020" w:hanging="701"/>
      </w:pPr>
      <w:rPr>
        <w:rFonts w:hint="default"/>
        <w:lang w:val="zh-CN" w:eastAsia="zh-CN" w:bidi="zh-CN"/>
      </w:rPr>
    </w:lvl>
  </w:abstractNum>
  <w:abstractNum w:abstractNumId="7">
    <w:nsid w:val="2356455E"/>
    <w:multiLevelType w:val="multilevel"/>
    <w:tmpl w:val="2356455E"/>
    <w:lvl w:ilvl="0" w:tentative="0">
      <w:start w:val="1"/>
      <w:numFmt w:val="decimal"/>
      <w:lvlText w:val="（%1）"/>
      <w:lvlJc w:val="left"/>
      <w:pPr>
        <w:ind w:left="1365" w:hanging="701"/>
      </w:pPr>
      <w:rPr>
        <w:rFonts w:hint="default" w:ascii="宋体" w:hAnsi="宋体" w:eastAsia="宋体" w:cs="宋体"/>
        <w:w w:val="100"/>
        <w:sz w:val="26"/>
        <w:szCs w:val="26"/>
        <w:lang w:val="zh-CN" w:eastAsia="zh-CN" w:bidi="zh-CN"/>
      </w:rPr>
    </w:lvl>
    <w:lvl w:ilvl="1" w:tentative="0">
      <w:start w:val="0"/>
      <w:numFmt w:val="bullet"/>
      <w:lvlText w:val="•"/>
      <w:lvlJc w:val="left"/>
      <w:pPr>
        <w:ind w:left="2192" w:hanging="701"/>
      </w:pPr>
      <w:rPr>
        <w:rFonts w:hint="default"/>
        <w:lang w:val="zh-CN" w:eastAsia="zh-CN" w:bidi="zh-CN"/>
      </w:rPr>
    </w:lvl>
    <w:lvl w:ilvl="2" w:tentative="0">
      <w:start w:val="0"/>
      <w:numFmt w:val="bullet"/>
      <w:lvlText w:val="•"/>
      <w:lvlJc w:val="left"/>
      <w:pPr>
        <w:ind w:left="3025" w:hanging="701"/>
      </w:pPr>
      <w:rPr>
        <w:rFonts w:hint="default"/>
        <w:lang w:val="zh-CN" w:eastAsia="zh-CN" w:bidi="zh-CN"/>
      </w:rPr>
    </w:lvl>
    <w:lvl w:ilvl="3" w:tentative="0">
      <w:start w:val="0"/>
      <w:numFmt w:val="bullet"/>
      <w:lvlText w:val="•"/>
      <w:lvlJc w:val="left"/>
      <w:pPr>
        <w:ind w:left="3857" w:hanging="701"/>
      </w:pPr>
      <w:rPr>
        <w:rFonts w:hint="default"/>
        <w:lang w:val="zh-CN" w:eastAsia="zh-CN" w:bidi="zh-CN"/>
      </w:rPr>
    </w:lvl>
    <w:lvl w:ilvl="4" w:tentative="0">
      <w:start w:val="0"/>
      <w:numFmt w:val="bullet"/>
      <w:lvlText w:val="•"/>
      <w:lvlJc w:val="left"/>
      <w:pPr>
        <w:ind w:left="4690" w:hanging="701"/>
      </w:pPr>
      <w:rPr>
        <w:rFonts w:hint="default"/>
        <w:lang w:val="zh-CN" w:eastAsia="zh-CN" w:bidi="zh-CN"/>
      </w:rPr>
    </w:lvl>
    <w:lvl w:ilvl="5" w:tentative="0">
      <w:start w:val="0"/>
      <w:numFmt w:val="bullet"/>
      <w:lvlText w:val="•"/>
      <w:lvlJc w:val="left"/>
      <w:pPr>
        <w:ind w:left="5523" w:hanging="701"/>
      </w:pPr>
      <w:rPr>
        <w:rFonts w:hint="default"/>
        <w:lang w:val="zh-CN" w:eastAsia="zh-CN" w:bidi="zh-CN"/>
      </w:rPr>
    </w:lvl>
    <w:lvl w:ilvl="6" w:tentative="0">
      <w:start w:val="0"/>
      <w:numFmt w:val="bullet"/>
      <w:lvlText w:val="•"/>
      <w:lvlJc w:val="left"/>
      <w:pPr>
        <w:ind w:left="6355" w:hanging="701"/>
      </w:pPr>
      <w:rPr>
        <w:rFonts w:hint="default"/>
        <w:lang w:val="zh-CN" w:eastAsia="zh-CN" w:bidi="zh-CN"/>
      </w:rPr>
    </w:lvl>
    <w:lvl w:ilvl="7" w:tentative="0">
      <w:start w:val="0"/>
      <w:numFmt w:val="bullet"/>
      <w:lvlText w:val="•"/>
      <w:lvlJc w:val="left"/>
      <w:pPr>
        <w:ind w:left="7188" w:hanging="701"/>
      </w:pPr>
      <w:rPr>
        <w:rFonts w:hint="default"/>
        <w:lang w:val="zh-CN" w:eastAsia="zh-CN" w:bidi="zh-CN"/>
      </w:rPr>
    </w:lvl>
    <w:lvl w:ilvl="8" w:tentative="0">
      <w:start w:val="0"/>
      <w:numFmt w:val="bullet"/>
      <w:lvlText w:val="•"/>
      <w:lvlJc w:val="left"/>
      <w:pPr>
        <w:ind w:left="8020" w:hanging="701"/>
      </w:pPr>
      <w:rPr>
        <w:rFonts w:hint="default"/>
        <w:lang w:val="zh-CN" w:eastAsia="zh-CN" w:bidi="zh-CN"/>
      </w:rPr>
    </w:lvl>
  </w:abstractNum>
  <w:abstractNum w:abstractNumId="8">
    <w:nsid w:val="26816709"/>
    <w:multiLevelType w:val="multilevel"/>
    <w:tmpl w:val="26816709"/>
    <w:lvl w:ilvl="0" w:tentative="0">
      <w:start w:val="24"/>
      <w:numFmt w:val="decimal"/>
      <w:lvlText w:val="%1"/>
      <w:lvlJc w:val="left"/>
      <w:pPr>
        <w:ind w:left="104" w:hanging="630"/>
      </w:pPr>
      <w:rPr>
        <w:rFonts w:hint="default"/>
        <w:lang w:val="zh-CN" w:eastAsia="zh-CN" w:bidi="zh-CN"/>
      </w:rPr>
    </w:lvl>
    <w:lvl w:ilvl="1" w:tentative="0">
      <w:start w:val="1"/>
      <w:numFmt w:val="decimal"/>
      <w:lvlText w:val="%1.%2"/>
      <w:lvlJc w:val="left"/>
      <w:pPr>
        <w:ind w:left="104" w:hanging="630"/>
      </w:pPr>
      <w:rPr>
        <w:rFonts w:hint="default" w:ascii="宋体" w:hAnsi="宋体" w:eastAsia="宋体" w:cs="宋体"/>
        <w:w w:val="100"/>
        <w:sz w:val="23"/>
        <w:szCs w:val="23"/>
        <w:lang w:val="zh-CN" w:eastAsia="zh-CN" w:bidi="zh-CN"/>
      </w:rPr>
    </w:lvl>
    <w:lvl w:ilvl="2" w:tentative="0">
      <w:start w:val="0"/>
      <w:numFmt w:val="bullet"/>
      <w:lvlText w:val="•"/>
      <w:lvlJc w:val="left"/>
      <w:pPr>
        <w:ind w:left="2017" w:hanging="630"/>
      </w:pPr>
      <w:rPr>
        <w:rFonts w:hint="default"/>
        <w:lang w:val="zh-CN" w:eastAsia="zh-CN" w:bidi="zh-CN"/>
      </w:rPr>
    </w:lvl>
    <w:lvl w:ilvl="3" w:tentative="0">
      <w:start w:val="0"/>
      <w:numFmt w:val="bullet"/>
      <w:lvlText w:val="•"/>
      <w:lvlJc w:val="left"/>
      <w:pPr>
        <w:ind w:left="2975" w:hanging="630"/>
      </w:pPr>
      <w:rPr>
        <w:rFonts w:hint="default"/>
        <w:lang w:val="zh-CN" w:eastAsia="zh-CN" w:bidi="zh-CN"/>
      </w:rPr>
    </w:lvl>
    <w:lvl w:ilvl="4" w:tentative="0">
      <w:start w:val="0"/>
      <w:numFmt w:val="bullet"/>
      <w:lvlText w:val="•"/>
      <w:lvlJc w:val="left"/>
      <w:pPr>
        <w:ind w:left="3934" w:hanging="630"/>
      </w:pPr>
      <w:rPr>
        <w:rFonts w:hint="default"/>
        <w:lang w:val="zh-CN" w:eastAsia="zh-CN" w:bidi="zh-CN"/>
      </w:rPr>
    </w:lvl>
    <w:lvl w:ilvl="5" w:tentative="0">
      <w:start w:val="0"/>
      <w:numFmt w:val="bullet"/>
      <w:lvlText w:val="•"/>
      <w:lvlJc w:val="left"/>
      <w:pPr>
        <w:ind w:left="4893" w:hanging="630"/>
      </w:pPr>
      <w:rPr>
        <w:rFonts w:hint="default"/>
        <w:lang w:val="zh-CN" w:eastAsia="zh-CN" w:bidi="zh-CN"/>
      </w:rPr>
    </w:lvl>
    <w:lvl w:ilvl="6" w:tentative="0">
      <w:start w:val="0"/>
      <w:numFmt w:val="bullet"/>
      <w:lvlText w:val="•"/>
      <w:lvlJc w:val="left"/>
      <w:pPr>
        <w:ind w:left="5851" w:hanging="630"/>
      </w:pPr>
      <w:rPr>
        <w:rFonts w:hint="default"/>
        <w:lang w:val="zh-CN" w:eastAsia="zh-CN" w:bidi="zh-CN"/>
      </w:rPr>
    </w:lvl>
    <w:lvl w:ilvl="7" w:tentative="0">
      <w:start w:val="0"/>
      <w:numFmt w:val="bullet"/>
      <w:lvlText w:val="•"/>
      <w:lvlJc w:val="left"/>
      <w:pPr>
        <w:ind w:left="6810" w:hanging="630"/>
      </w:pPr>
      <w:rPr>
        <w:rFonts w:hint="default"/>
        <w:lang w:val="zh-CN" w:eastAsia="zh-CN" w:bidi="zh-CN"/>
      </w:rPr>
    </w:lvl>
    <w:lvl w:ilvl="8" w:tentative="0">
      <w:start w:val="0"/>
      <w:numFmt w:val="bullet"/>
      <w:lvlText w:val="•"/>
      <w:lvlJc w:val="left"/>
      <w:pPr>
        <w:ind w:left="7768" w:hanging="630"/>
      </w:pPr>
      <w:rPr>
        <w:rFonts w:hint="default"/>
        <w:lang w:val="zh-CN" w:eastAsia="zh-CN" w:bidi="zh-CN"/>
      </w:rPr>
    </w:lvl>
  </w:abstractNum>
  <w:abstractNum w:abstractNumId="9">
    <w:nsid w:val="379A5B2A"/>
    <w:multiLevelType w:val="multilevel"/>
    <w:tmpl w:val="379A5B2A"/>
    <w:lvl w:ilvl="0" w:tentative="0">
      <w:start w:val="27"/>
      <w:numFmt w:val="decimal"/>
      <w:lvlText w:val="%1"/>
      <w:lvlJc w:val="left"/>
      <w:pPr>
        <w:ind w:left="104" w:hanging="561"/>
      </w:pPr>
      <w:rPr>
        <w:rFonts w:hint="default"/>
        <w:lang w:val="zh-CN" w:eastAsia="zh-CN" w:bidi="zh-CN"/>
      </w:rPr>
    </w:lvl>
    <w:lvl w:ilvl="1" w:tentative="0">
      <w:start w:val="1"/>
      <w:numFmt w:val="decimal"/>
      <w:lvlText w:val="%1.%2"/>
      <w:lvlJc w:val="left"/>
      <w:pPr>
        <w:ind w:left="104" w:hanging="561"/>
      </w:pPr>
      <w:rPr>
        <w:rFonts w:hint="default" w:ascii="宋体" w:hAnsi="宋体" w:eastAsia="宋体" w:cs="宋体"/>
        <w:spacing w:val="-18"/>
        <w:w w:val="100"/>
        <w:sz w:val="26"/>
        <w:szCs w:val="26"/>
        <w:lang w:val="zh-CN" w:eastAsia="zh-CN" w:bidi="zh-CN"/>
      </w:rPr>
    </w:lvl>
    <w:lvl w:ilvl="2" w:tentative="0">
      <w:start w:val="1"/>
      <w:numFmt w:val="decimal"/>
      <w:lvlText w:val="%3."/>
      <w:lvlJc w:val="left"/>
      <w:pPr>
        <w:ind w:left="639" w:hanging="361"/>
      </w:pPr>
      <w:rPr>
        <w:rFonts w:hint="default" w:ascii="Microsoft JhengHei" w:hAnsi="Microsoft JhengHei" w:eastAsia="Microsoft JhengHei" w:cs="Microsoft JhengHei"/>
        <w:b/>
        <w:bCs/>
        <w:w w:val="83"/>
        <w:sz w:val="22"/>
        <w:szCs w:val="22"/>
        <w:lang w:val="zh-CN" w:eastAsia="zh-CN" w:bidi="zh-CN"/>
      </w:rPr>
    </w:lvl>
    <w:lvl w:ilvl="3" w:tentative="0">
      <w:start w:val="1"/>
      <w:numFmt w:val="decimal"/>
      <w:lvlText w:val="%3.%4"/>
      <w:lvlJc w:val="left"/>
      <w:pPr>
        <w:ind w:left="639" w:hanging="361"/>
      </w:pPr>
      <w:rPr>
        <w:rFonts w:hint="default" w:ascii="Microsoft JhengHei" w:hAnsi="Microsoft JhengHei" w:eastAsia="Microsoft JhengHei" w:cs="Microsoft JhengHei"/>
        <w:b/>
        <w:bCs/>
        <w:w w:val="103"/>
        <w:sz w:val="22"/>
        <w:szCs w:val="22"/>
        <w:lang w:val="zh-CN" w:eastAsia="zh-CN" w:bidi="zh-CN"/>
      </w:rPr>
    </w:lvl>
    <w:lvl w:ilvl="4" w:tentative="0">
      <w:start w:val="1"/>
      <w:numFmt w:val="decimal"/>
      <w:lvlText w:val="%3.%4.%5"/>
      <w:lvlJc w:val="left"/>
      <w:pPr>
        <w:ind w:left="278" w:hanging="601"/>
      </w:pPr>
      <w:rPr>
        <w:rFonts w:hint="default"/>
        <w:spacing w:val="-19"/>
        <w:w w:val="100"/>
        <w:lang w:val="zh-CN" w:eastAsia="zh-CN" w:bidi="zh-CN"/>
      </w:rPr>
    </w:lvl>
    <w:lvl w:ilvl="5" w:tentative="0">
      <w:start w:val="0"/>
      <w:numFmt w:val="bullet"/>
      <w:lvlText w:val="•"/>
      <w:lvlJc w:val="left"/>
      <w:pPr>
        <w:ind w:left="3781" w:hanging="601"/>
      </w:pPr>
      <w:rPr>
        <w:rFonts w:hint="default"/>
        <w:lang w:val="zh-CN" w:eastAsia="zh-CN" w:bidi="zh-CN"/>
      </w:rPr>
    </w:lvl>
    <w:lvl w:ilvl="6" w:tentative="0">
      <w:start w:val="0"/>
      <w:numFmt w:val="bullet"/>
      <w:lvlText w:val="•"/>
      <w:lvlJc w:val="left"/>
      <w:pPr>
        <w:ind w:left="4962" w:hanging="601"/>
      </w:pPr>
      <w:rPr>
        <w:rFonts w:hint="default"/>
        <w:lang w:val="zh-CN" w:eastAsia="zh-CN" w:bidi="zh-CN"/>
      </w:rPr>
    </w:lvl>
    <w:lvl w:ilvl="7" w:tentative="0">
      <w:start w:val="0"/>
      <w:numFmt w:val="bullet"/>
      <w:lvlText w:val="•"/>
      <w:lvlJc w:val="left"/>
      <w:pPr>
        <w:ind w:left="6143" w:hanging="601"/>
      </w:pPr>
      <w:rPr>
        <w:rFonts w:hint="default"/>
        <w:lang w:val="zh-CN" w:eastAsia="zh-CN" w:bidi="zh-CN"/>
      </w:rPr>
    </w:lvl>
    <w:lvl w:ilvl="8" w:tentative="0">
      <w:start w:val="0"/>
      <w:numFmt w:val="bullet"/>
      <w:lvlText w:val="•"/>
      <w:lvlJc w:val="left"/>
      <w:pPr>
        <w:ind w:left="7324" w:hanging="601"/>
      </w:pPr>
      <w:rPr>
        <w:rFonts w:hint="default"/>
        <w:lang w:val="zh-CN" w:eastAsia="zh-CN" w:bidi="zh-CN"/>
      </w:rPr>
    </w:lvl>
  </w:abstractNum>
  <w:abstractNum w:abstractNumId="10">
    <w:nsid w:val="408D2DE9"/>
    <w:multiLevelType w:val="multilevel"/>
    <w:tmpl w:val="408D2DE9"/>
    <w:lvl w:ilvl="0" w:tentative="0">
      <w:start w:val="13"/>
      <w:numFmt w:val="decimal"/>
      <w:lvlText w:val="%1"/>
      <w:lvlJc w:val="left"/>
      <w:pPr>
        <w:ind w:left="1214" w:hanging="630"/>
      </w:pPr>
      <w:rPr>
        <w:rFonts w:hint="default"/>
        <w:lang w:val="zh-CN" w:eastAsia="zh-CN" w:bidi="zh-CN"/>
      </w:rPr>
    </w:lvl>
    <w:lvl w:ilvl="1" w:tentative="0">
      <w:start w:val="1"/>
      <w:numFmt w:val="decimal"/>
      <w:lvlText w:val="%1.%2"/>
      <w:lvlJc w:val="left"/>
      <w:pPr>
        <w:ind w:left="1214" w:hanging="630"/>
      </w:pPr>
      <w:rPr>
        <w:rFonts w:hint="default" w:ascii="宋体" w:hAnsi="宋体" w:eastAsia="宋体" w:cs="宋体"/>
        <w:w w:val="100"/>
        <w:sz w:val="23"/>
        <w:szCs w:val="23"/>
        <w:lang w:val="zh-CN" w:eastAsia="zh-CN" w:bidi="zh-CN"/>
      </w:rPr>
    </w:lvl>
    <w:lvl w:ilvl="2" w:tentative="0">
      <w:start w:val="0"/>
      <w:numFmt w:val="bullet"/>
      <w:lvlText w:val="•"/>
      <w:lvlJc w:val="left"/>
      <w:pPr>
        <w:ind w:left="2913" w:hanging="630"/>
      </w:pPr>
      <w:rPr>
        <w:rFonts w:hint="default"/>
        <w:lang w:val="zh-CN" w:eastAsia="zh-CN" w:bidi="zh-CN"/>
      </w:rPr>
    </w:lvl>
    <w:lvl w:ilvl="3" w:tentative="0">
      <w:start w:val="0"/>
      <w:numFmt w:val="bullet"/>
      <w:lvlText w:val="•"/>
      <w:lvlJc w:val="left"/>
      <w:pPr>
        <w:ind w:left="3759" w:hanging="630"/>
      </w:pPr>
      <w:rPr>
        <w:rFonts w:hint="default"/>
        <w:lang w:val="zh-CN" w:eastAsia="zh-CN" w:bidi="zh-CN"/>
      </w:rPr>
    </w:lvl>
    <w:lvl w:ilvl="4" w:tentative="0">
      <w:start w:val="0"/>
      <w:numFmt w:val="bullet"/>
      <w:lvlText w:val="•"/>
      <w:lvlJc w:val="left"/>
      <w:pPr>
        <w:ind w:left="4606" w:hanging="630"/>
      </w:pPr>
      <w:rPr>
        <w:rFonts w:hint="default"/>
        <w:lang w:val="zh-CN" w:eastAsia="zh-CN" w:bidi="zh-CN"/>
      </w:rPr>
    </w:lvl>
    <w:lvl w:ilvl="5" w:tentative="0">
      <w:start w:val="0"/>
      <w:numFmt w:val="bullet"/>
      <w:lvlText w:val="•"/>
      <w:lvlJc w:val="left"/>
      <w:pPr>
        <w:ind w:left="5453" w:hanging="630"/>
      </w:pPr>
      <w:rPr>
        <w:rFonts w:hint="default"/>
        <w:lang w:val="zh-CN" w:eastAsia="zh-CN" w:bidi="zh-CN"/>
      </w:rPr>
    </w:lvl>
    <w:lvl w:ilvl="6" w:tentative="0">
      <w:start w:val="0"/>
      <w:numFmt w:val="bullet"/>
      <w:lvlText w:val="•"/>
      <w:lvlJc w:val="left"/>
      <w:pPr>
        <w:ind w:left="6299" w:hanging="630"/>
      </w:pPr>
      <w:rPr>
        <w:rFonts w:hint="default"/>
        <w:lang w:val="zh-CN" w:eastAsia="zh-CN" w:bidi="zh-CN"/>
      </w:rPr>
    </w:lvl>
    <w:lvl w:ilvl="7" w:tentative="0">
      <w:start w:val="0"/>
      <w:numFmt w:val="bullet"/>
      <w:lvlText w:val="•"/>
      <w:lvlJc w:val="left"/>
      <w:pPr>
        <w:ind w:left="7146" w:hanging="630"/>
      </w:pPr>
      <w:rPr>
        <w:rFonts w:hint="default"/>
        <w:lang w:val="zh-CN" w:eastAsia="zh-CN" w:bidi="zh-CN"/>
      </w:rPr>
    </w:lvl>
    <w:lvl w:ilvl="8" w:tentative="0">
      <w:start w:val="0"/>
      <w:numFmt w:val="bullet"/>
      <w:lvlText w:val="•"/>
      <w:lvlJc w:val="left"/>
      <w:pPr>
        <w:ind w:left="7992" w:hanging="630"/>
      </w:pPr>
      <w:rPr>
        <w:rFonts w:hint="default"/>
        <w:lang w:val="zh-CN" w:eastAsia="zh-CN" w:bidi="zh-CN"/>
      </w:rPr>
    </w:lvl>
  </w:abstractNum>
  <w:abstractNum w:abstractNumId="11">
    <w:nsid w:val="46E175CE"/>
    <w:multiLevelType w:val="multilevel"/>
    <w:tmpl w:val="46E175CE"/>
    <w:lvl w:ilvl="0" w:tentative="0">
      <w:start w:val="1"/>
      <w:numFmt w:val="decimal"/>
      <w:lvlText w:val="（%1）"/>
      <w:lvlJc w:val="left"/>
      <w:pPr>
        <w:ind w:left="1365" w:hanging="701"/>
        <w:jc w:val="right"/>
      </w:pPr>
      <w:rPr>
        <w:rFonts w:hint="default" w:ascii="宋体" w:hAnsi="宋体" w:eastAsia="宋体" w:cs="宋体"/>
        <w:w w:val="100"/>
        <w:sz w:val="26"/>
        <w:szCs w:val="26"/>
        <w:lang w:val="zh-CN" w:eastAsia="zh-CN" w:bidi="zh-CN"/>
      </w:rPr>
    </w:lvl>
    <w:lvl w:ilvl="1" w:tentative="0">
      <w:start w:val="0"/>
      <w:numFmt w:val="bullet"/>
      <w:lvlText w:val="•"/>
      <w:lvlJc w:val="left"/>
      <w:pPr>
        <w:ind w:left="2192" w:hanging="701"/>
      </w:pPr>
      <w:rPr>
        <w:rFonts w:hint="default"/>
        <w:lang w:val="zh-CN" w:eastAsia="zh-CN" w:bidi="zh-CN"/>
      </w:rPr>
    </w:lvl>
    <w:lvl w:ilvl="2" w:tentative="0">
      <w:start w:val="0"/>
      <w:numFmt w:val="bullet"/>
      <w:lvlText w:val="•"/>
      <w:lvlJc w:val="left"/>
      <w:pPr>
        <w:ind w:left="3025" w:hanging="701"/>
      </w:pPr>
      <w:rPr>
        <w:rFonts w:hint="default"/>
        <w:lang w:val="zh-CN" w:eastAsia="zh-CN" w:bidi="zh-CN"/>
      </w:rPr>
    </w:lvl>
    <w:lvl w:ilvl="3" w:tentative="0">
      <w:start w:val="0"/>
      <w:numFmt w:val="bullet"/>
      <w:lvlText w:val="•"/>
      <w:lvlJc w:val="left"/>
      <w:pPr>
        <w:ind w:left="3857" w:hanging="701"/>
      </w:pPr>
      <w:rPr>
        <w:rFonts w:hint="default"/>
        <w:lang w:val="zh-CN" w:eastAsia="zh-CN" w:bidi="zh-CN"/>
      </w:rPr>
    </w:lvl>
    <w:lvl w:ilvl="4" w:tentative="0">
      <w:start w:val="0"/>
      <w:numFmt w:val="bullet"/>
      <w:lvlText w:val="•"/>
      <w:lvlJc w:val="left"/>
      <w:pPr>
        <w:ind w:left="4690" w:hanging="701"/>
      </w:pPr>
      <w:rPr>
        <w:rFonts w:hint="default"/>
        <w:lang w:val="zh-CN" w:eastAsia="zh-CN" w:bidi="zh-CN"/>
      </w:rPr>
    </w:lvl>
    <w:lvl w:ilvl="5" w:tentative="0">
      <w:start w:val="0"/>
      <w:numFmt w:val="bullet"/>
      <w:lvlText w:val="•"/>
      <w:lvlJc w:val="left"/>
      <w:pPr>
        <w:ind w:left="5523" w:hanging="701"/>
      </w:pPr>
      <w:rPr>
        <w:rFonts w:hint="default"/>
        <w:lang w:val="zh-CN" w:eastAsia="zh-CN" w:bidi="zh-CN"/>
      </w:rPr>
    </w:lvl>
    <w:lvl w:ilvl="6" w:tentative="0">
      <w:start w:val="0"/>
      <w:numFmt w:val="bullet"/>
      <w:lvlText w:val="•"/>
      <w:lvlJc w:val="left"/>
      <w:pPr>
        <w:ind w:left="6355" w:hanging="701"/>
      </w:pPr>
      <w:rPr>
        <w:rFonts w:hint="default"/>
        <w:lang w:val="zh-CN" w:eastAsia="zh-CN" w:bidi="zh-CN"/>
      </w:rPr>
    </w:lvl>
    <w:lvl w:ilvl="7" w:tentative="0">
      <w:start w:val="0"/>
      <w:numFmt w:val="bullet"/>
      <w:lvlText w:val="•"/>
      <w:lvlJc w:val="left"/>
      <w:pPr>
        <w:ind w:left="7188" w:hanging="701"/>
      </w:pPr>
      <w:rPr>
        <w:rFonts w:hint="default"/>
        <w:lang w:val="zh-CN" w:eastAsia="zh-CN" w:bidi="zh-CN"/>
      </w:rPr>
    </w:lvl>
    <w:lvl w:ilvl="8" w:tentative="0">
      <w:start w:val="0"/>
      <w:numFmt w:val="bullet"/>
      <w:lvlText w:val="•"/>
      <w:lvlJc w:val="left"/>
      <w:pPr>
        <w:ind w:left="8020" w:hanging="701"/>
      </w:pPr>
      <w:rPr>
        <w:rFonts w:hint="default"/>
        <w:lang w:val="zh-CN" w:eastAsia="zh-CN" w:bidi="zh-CN"/>
      </w:rPr>
    </w:lvl>
  </w:abstractNum>
  <w:abstractNum w:abstractNumId="12">
    <w:nsid w:val="48826286"/>
    <w:multiLevelType w:val="multilevel"/>
    <w:tmpl w:val="48826286"/>
    <w:lvl w:ilvl="0" w:tentative="0">
      <w:start w:val="16"/>
      <w:numFmt w:val="decimal"/>
      <w:lvlText w:val="%1."/>
      <w:lvlJc w:val="left"/>
      <w:pPr>
        <w:ind w:left="1085" w:hanging="421"/>
      </w:pPr>
      <w:rPr>
        <w:rFonts w:hint="default" w:ascii="宋体" w:hAnsi="宋体" w:eastAsia="宋体" w:cs="宋体"/>
        <w:w w:val="100"/>
        <w:sz w:val="23"/>
        <w:szCs w:val="23"/>
        <w:lang w:val="zh-CN" w:eastAsia="zh-CN" w:bidi="zh-CN"/>
      </w:rPr>
    </w:lvl>
    <w:lvl w:ilvl="1" w:tentative="0">
      <w:start w:val="1"/>
      <w:numFmt w:val="decimal"/>
      <w:lvlText w:val="%1.%2"/>
      <w:lvlJc w:val="left"/>
      <w:pPr>
        <w:ind w:left="1225" w:hanging="561"/>
      </w:pPr>
      <w:rPr>
        <w:rFonts w:hint="default" w:ascii="宋体" w:hAnsi="宋体" w:eastAsia="宋体" w:cs="宋体"/>
        <w:w w:val="100"/>
        <w:sz w:val="23"/>
        <w:szCs w:val="23"/>
        <w:lang w:val="zh-CN" w:eastAsia="zh-CN" w:bidi="zh-CN"/>
      </w:rPr>
    </w:lvl>
    <w:lvl w:ilvl="2" w:tentative="0">
      <w:start w:val="1"/>
      <w:numFmt w:val="decimal"/>
      <w:lvlText w:val="%1.%2.%3"/>
      <w:lvlJc w:val="left"/>
      <w:pPr>
        <w:ind w:left="104" w:hanging="841"/>
      </w:pPr>
      <w:rPr>
        <w:rFonts w:hint="default" w:ascii="宋体" w:hAnsi="宋体" w:eastAsia="宋体" w:cs="宋体"/>
        <w:spacing w:val="-140"/>
        <w:w w:val="100"/>
        <w:sz w:val="26"/>
        <w:szCs w:val="26"/>
        <w:lang w:val="zh-CN" w:eastAsia="zh-CN" w:bidi="zh-CN"/>
      </w:rPr>
    </w:lvl>
    <w:lvl w:ilvl="3" w:tentative="0">
      <w:start w:val="0"/>
      <w:numFmt w:val="bullet"/>
      <w:lvlText w:val="•"/>
      <w:lvlJc w:val="left"/>
      <w:pPr>
        <w:ind w:left="1500" w:hanging="841"/>
      </w:pPr>
      <w:rPr>
        <w:rFonts w:hint="default"/>
        <w:lang w:val="zh-CN" w:eastAsia="zh-CN" w:bidi="zh-CN"/>
      </w:rPr>
    </w:lvl>
    <w:lvl w:ilvl="4" w:tentative="0">
      <w:start w:val="0"/>
      <w:numFmt w:val="bullet"/>
      <w:lvlText w:val="•"/>
      <w:lvlJc w:val="left"/>
      <w:pPr>
        <w:ind w:left="2669" w:hanging="841"/>
      </w:pPr>
      <w:rPr>
        <w:rFonts w:hint="default"/>
        <w:lang w:val="zh-CN" w:eastAsia="zh-CN" w:bidi="zh-CN"/>
      </w:rPr>
    </w:lvl>
    <w:lvl w:ilvl="5" w:tentative="0">
      <w:start w:val="0"/>
      <w:numFmt w:val="bullet"/>
      <w:lvlText w:val="•"/>
      <w:lvlJc w:val="left"/>
      <w:pPr>
        <w:ind w:left="3838" w:hanging="841"/>
      </w:pPr>
      <w:rPr>
        <w:rFonts w:hint="default"/>
        <w:lang w:val="zh-CN" w:eastAsia="zh-CN" w:bidi="zh-CN"/>
      </w:rPr>
    </w:lvl>
    <w:lvl w:ilvl="6" w:tentative="0">
      <w:start w:val="0"/>
      <w:numFmt w:val="bullet"/>
      <w:lvlText w:val="•"/>
      <w:lvlJc w:val="left"/>
      <w:pPr>
        <w:ind w:left="5008" w:hanging="841"/>
      </w:pPr>
      <w:rPr>
        <w:rFonts w:hint="default"/>
        <w:lang w:val="zh-CN" w:eastAsia="zh-CN" w:bidi="zh-CN"/>
      </w:rPr>
    </w:lvl>
    <w:lvl w:ilvl="7" w:tentative="0">
      <w:start w:val="0"/>
      <w:numFmt w:val="bullet"/>
      <w:lvlText w:val="•"/>
      <w:lvlJc w:val="left"/>
      <w:pPr>
        <w:ind w:left="6177" w:hanging="841"/>
      </w:pPr>
      <w:rPr>
        <w:rFonts w:hint="default"/>
        <w:lang w:val="zh-CN" w:eastAsia="zh-CN" w:bidi="zh-CN"/>
      </w:rPr>
    </w:lvl>
    <w:lvl w:ilvl="8" w:tentative="0">
      <w:start w:val="0"/>
      <w:numFmt w:val="bullet"/>
      <w:lvlText w:val="•"/>
      <w:lvlJc w:val="left"/>
      <w:pPr>
        <w:ind w:left="7347" w:hanging="841"/>
      </w:pPr>
      <w:rPr>
        <w:rFonts w:hint="default"/>
        <w:lang w:val="zh-CN" w:eastAsia="zh-CN" w:bidi="zh-CN"/>
      </w:rPr>
    </w:lvl>
  </w:abstractNum>
  <w:abstractNum w:abstractNumId="13">
    <w:nsid w:val="4DC2411F"/>
    <w:multiLevelType w:val="multilevel"/>
    <w:tmpl w:val="4DC2411F"/>
    <w:lvl w:ilvl="0" w:tentative="0">
      <w:start w:val="3"/>
      <w:numFmt w:val="decimal"/>
      <w:lvlText w:val="%1"/>
      <w:lvlJc w:val="left"/>
      <w:pPr>
        <w:ind w:left="278" w:hanging="601"/>
      </w:pPr>
      <w:rPr>
        <w:rFonts w:hint="default"/>
        <w:lang w:val="zh-CN" w:eastAsia="zh-CN" w:bidi="zh-CN"/>
      </w:rPr>
    </w:lvl>
    <w:lvl w:ilvl="1" w:tentative="0">
      <w:start w:val="3"/>
      <w:numFmt w:val="decimal"/>
      <w:lvlText w:val="%1.%2"/>
      <w:lvlJc w:val="left"/>
      <w:pPr>
        <w:ind w:left="278" w:hanging="601"/>
      </w:pPr>
      <w:rPr>
        <w:rFonts w:hint="default"/>
        <w:lang w:val="zh-CN" w:eastAsia="zh-CN" w:bidi="zh-CN"/>
      </w:rPr>
    </w:lvl>
    <w:lvl w:ilvl="2" w:tentative="0">
      <w:start w:val="2"/>
      <w:numFmt w:val="decimal"/>
      <w:lvlText w:val="%1.%2.%3"/>
      <w:lvlJc w:val="left"/>
      <w:pPr>
        <w:ind w:left="278" w:hanging="601"/>
      </w:pPr>
      <w:rPr>
        <w:rFonts w:hint="default" w:ascii="宋体" w:hAnsi="宋体" w:eastAsia="宋体" w:cs="宋体"/>
        <w:spacing w:val="-19"/>
        <w:w w:val="100"/>
        <w:sz w:val="22"/>
        <w:szCs w:val="22"/>
        <w:lang w:val="zh-CN" w:eastAsia="zh-CN" w:bidi="zh-CN"/>
      </w:rPr>
    </w:lvl>
    <w:lvl w:ilvl="3" w:tentative="0">
      <w:start w:val="0"/>
      <w:numFmt w:val="bullet"/>
      <w:lvlText w:val="•"/>
      <w:lvlJc w:val="left"/>
      <w:pPr>
        <w:ind w:left="3227" w:hanging="601"/>
      </w:pPr>
      <w:rPr>
        <w:rFonts w:hint="default"/>
        <w:lang w:val="zh-CN" w:eastAsia="zh-CN" w:bidi="zh-CN"/>
      </w:rPr>
    </w:lvl>
    <w:lvl w:ilvl="4" w:tentative="0">
      <w:start w:val="0"/>
      <w:numFmt w:val="bullet"/>
      <w:lvlText w:val="•"/>
      <w:lvlJc w:val="left"/>
      <w:pPr>
        <w:ind w:left="4210" w:hanging="601"/>
      </w:pPr>
      <w:rPr>
        <w:rFonts w:hint="default"/>
        <w:lang w:val="zh-CN" w:eastAsia="zh-CN" w:bidi="zh-CN"/>
      </w:rPr>
    </w:lvl>
    <w:lvl w:ilvl="5" w:tentative="0">
      <w:start w:val="0"/>
      <w:numFmt w:val="bullet"/>
      <w:lvlText w:val="•"/>
      <w:lvlJc w:val="left"/>
      <w:pPr>
        <w:ind w:left="5193" w:hanging="601"/>
      </w:pPr>
      <w:rPr>
        <w:rFonts w:hint="default"/>
        <w:lang w:val="zh-CN" w:eastAsia="zh-CN" w:bidi="zh-CN"/>
      </w:rPr>
    </w:lvl>
    <w:lvl w:ilvl="6" w:tentative="0">
      <w:start w:val="0"/>
      <w:numFmt w:val="bullet"/>
      <w:lvlText w:val="•"/>
      <w:lvlJc w:val="left"/>
      <w:pPr>
        <w:ind w:left="6175" w:hanging="601"/>
      </w:pPr>
      <w:rPr>
        <w:rFonts w:hint="default"/>
        <w:lang w:val="zh-CN" w:eastAsia="zh-CN" w:bidi="zh-CN"/>
      </w:rPr>
    </w:lvl>
    <w:lvl w:ilvl="7" w:tentative="0">
      <w:start w:val="0"/>
      <w:numFmt w:val="bullet"/>
      <w:lvlText w:val="•"/>
      <w:lvlJc w:val="left"/>
      <w:pPr>
        <w:ind w:left="7158" w:hanging="601"/>
      </w:pPr>
      <w:rPr>
        <w:rFonts w:hint="default"/>
        <w:lang w:val="zh-CN" w:eastAsia="zh-CN" w:bidi="zh-CN"/>
      </w:rPr>
    </w:lvl>
    <w:lvl w:ilvl="8" w:tentative="0">
      <w:start w:val="0"/>
      <w:numFmt w:val="bullet"/>
      <w:lvlText w:val="•"/>
      <w:lvlJc w:val="left"/>
      <w:pPr>
        <w:ind w:left="8140" w:hanging="601"/>
      </w:pPr>
      <w:rPr>
        <w:rFonts w:hint="default"/>
        <w:lang w:val="zh-CN" w:eastAsia="zh-CN" w:bidi="zh-CN"/>
      </w:rPr>
    </w:lvl>
  </w:abstractNum>
  <w:abstractNum w:abstractNumId="14">
    <w:nsid w:val="4E554C75"/>
    <w:multiLevelType w:val="multilevel"/>
    <w:tmpl w:val="4E554C75"/>
    <w:lvl w:ilvl="0" w:tentative="0">
      <w:start w:val="1"/>
      <w:numFmt w:val="decimal"/>
      <w:lvlText w:val="（%1）"/>
      <w:lvlJc w:val="left"/>
      <w:pPr>
        <w:ind w:left="1285" w:hanging="701"/>
        <w:jc w:val="right"/>
      </w:pPr>
      <w:rPr>
        <w:rFonts w:hint="default" w:ascii="宋体" w:hAnsi="宋体" w:eastAsia="宋体" w:cs="宋体"/>
        <w:w w:val="100"/>
        <w:sz w:val="26"/>
        <w:szCs w:val="26"/>
        <w:lang w:val="zh-CN" w:eastAsia="zh-CN" w:bidi="zh-CN"/>
      </w:rPr>
    </w:lvl>
    <w:lvl w:ilvl="1" w:tentative="0">
      <w:start w:val="0"/>
      <w:numFmt w:val="bullet"/>
      <w:lvlText w:val="•"/>
      <w:lvlJc w:val="left"/>
      <w:pPr>
        <w:ind w:left="2120" w:hanging="701"/>
      </w:pPr>
      <w:rPr>
        <w:rFonts w:hint="default"/>
        <w:lang w:val="zh-CN" w:eastAsia="zh-CN" w:bidi="zh-CN"/>
      </w:rPr>
    </w:lvl>
    <w:lvl w:ilvl="2" w:tentative="0">
      <w:start w:val="0"/>
      <w:numFmt w:val="bullet"/>
      <w:lvlText w:val="•"/>
      <w:lvlJc w:val="left"/>
      <w:pPr>
        <w:ind w:left="2961" w:hanging="701"/>
      </w:pPr>
      <w:rPr>
        <w:rFonts w:hint="default"/>
        <w:lang w:val="zh-CN" w:eastAsia="zh-CN" w:bidi="zh-CN"/>
      </w:rPr>
    </w:lvl>
    <w:lvl w:ilvl="3" w:tentative="0">
      <w:start w:val="0"/>
      <w:numFmt w:val="bullet"/>
      <w:lvlText w:val="•"/>
      <w:lvlJc w:val="left"/>
      <w:pPr>
        <w:ind w:left="3801" w:hanging="701"/>
      </w:pPr>
      <w:rPr>
        <w:rFonts w:hint="default"/>
        <w:lang w:val="zh-CN" w:eastAsia="zh-CN" w:bidi="zh-CN"/>
      </w:rPr>
    </w:lvl>
    <w:lvl w:ilvl="4" w:tentative="0">
      <w:start w:val="0"/>
      <w:numFmt w:val="bullet"/>
      <w:lvlText w:val="•"/>
      <w:lvlJc w:val="left"/>
      <w:pPr>
        <w:ind w:left="4642" w:hanging="701"/>
      </w:pPr>
      <w:rPr>
        <w:rFonts w:hint="default"/>
        <w:lang w:val="zh-CN" w:eastAsia="zh-CN" w:bidi="zh-CN"/>
      </w:rPr>
    </w:lvl>
    <w:lvl w:ilvl="5" w:tentative="0">
      <w:start w:val="0"/>
      <w:numFmt w:val="bullet"/>
      <w:lvlText w:val="•"/>
      <w:lvlJc w:val="left"/>
      <w:pPr>
        <w:ind w:left="5483" w:hanging="701"/>
      </w:pPr>
      <w:rPr>
        <w:rFonts w:hint="default"/>
        <w:lang w:val="zh-CN" w:eastAsia="zh-CN" w:bidi="zh-CN"/>
      </w:rPr>
    </w:lvl>
    <w:lvl w:ilvl="6" w:tentative="0">
      <w:start w:val="0"/>
      <w:numFmt w:val="bullet"/>
      <w:lvlText w:val="•"/>
      <w:lvlJc w:val="left"/>
      <w:pPr>
        <w:ind w:left="6323" w:hanging="701"/>
      </w:pPr>
      <w:rPr>
        <w:rFonts w:hint="default"/>
        <w:lang w:val="zh-CN" w:eastAsia="zh-CN" w:bidi="zh-CN"/>
      </w:rPr>
    </w:lvl>
    <w:lvl w:ilvl="7" w:tentative="0">
      <w:start w:val="0"/>
      <w:numFmt w:val="bullet"/>
      <w:lvlText w:val="•"/>
      <w:lvlJc w:val="left"/>
      <w:pPr>
        <w:ind w:left="7164" w:hanging="701"/>
      </w:pPr>
      <w:rPr>
        <w:rFonts w:hint="default"/>
        <w:lang w:val="zh-CN" w:eastAsia="zh-CN" w:bidi="zh-CN"/>
      </w:rPr>
    </w:lvl>
    <w:lvl w:ilvl="8" w:tentative="0">
      <w:start w:val="0"/>
      <w:numFmt w:val="bullet"/>
      <w:lvlText w:val="•"/>
      <w:lvlJc w:val="left"/>
      <w:pPr>
        <w:ind w:left="8004" w:hanging="701"/>
      </w:pPr>
      <w:rPr>
        <w:rFonts w:hint="default"/>
        <w:lang w:val="zh-CN" w:eastAsia="zh-CN" w:bidi="zh-CN"/>
      </w:rPr>
    </w:lvl>
  </w:abstractNum>
  <w:abstractNum w:abstractNumId="15">
    <w:nsid w:val="50354834"/>
    <w:multiLevelType w:val="multilevel"/>
    <w:tmpl w:val="50354834"/>
    <w:lvl w:ilvl="0" w:tentative="0">
      <w:start w:val="8"/>
      <w:numFmt w:val="decimal"/>
      <w:lvlText w:val="%1"/>
      <w:lvlJc w:val="left"/>
      <w:pPr>
        <w:ind w:left="104" w:hanging="490"/>
      </w:pPr>
      <w:rPr>
        <w:rFonts w:hint="default"/>
        <w:lang w:val="zh-CN" w:eastAsia="zh-CN" w:bidi="zh-CN"/>
      </w:rPr>
    </w:lvl>
    <w:lvl w:ilvl="1" w:tentative="0">
      <w:start w:val="1"/>
      <w:numFmt w:val="decimal"/>
      <w:lvlText w:val="%1.%2"/>
      <w:lvlJc w:val="left"/>
      <w:pPr>
        <w:ind w:left="104" w:hanging="490"/>
      </w:pPr>
      <w:rPr>
        <w:rFonts w:hint="default" w:ascii="宋体" w:hAnsi="宋体" w:eastAsia="宋体" w:cs="宋体"/>
        <w:w w:val="100"/>
        <w:sz w:val="23"/>
        <w:szCs w:val="23"/>
        <w:lang w:val="zh-CN" w:eastAsia="zh-CN" w:bidi="zh-CN"/>
      </w:rPr>
    </w:lvl>
    <w:lvl w:ilvl="2" w:tentative="0">
      <w:start w:val="0"/>
      <w:numFmt w:val="bullet"/>
      <w:lvlText w:val="•"/>
      <w:lvlJc w:val="left"/>
      <w:pPr>
        <w:ind w:left="2017" w:hanging="490"/>
      </w:pPr>
      <w:rPr>
        <w:rFonts w:hint="default"/>
        <w:lang w:val="zh-CN" w:eastAsia="zh-CN" w:bidi="zh-CN"/>
      </w:rPr>
    </w:lvl>
    <w:lvl w:ilvl="3" w:tentative="0">
      <w:start w:val="0"/>
      <w:numFmt w:val="bullet"/>
      <w:lvlText w:val="•"/>
      <w:lvlJc w:val="left"/>
      <w:pPr>
        <w:ind w:left="2975" w:hanging="490"/>
      </w:pPr>
      <w:rPr>
        <w:rFonts w:hint="default"/>
        <w:lang w:val="zh-CN" w:eastAsia="zh-CN" w:bidi="zh-CN"/>
      </w:rPr>
    </w:lvl>
    <w:lvl w:ilvl="4" w:tentative="0">
      <w:start w:val="0"/>
      <w:numFmt w:val="bullet"/>
      <w:lvlText w:val="•"/>
      <w:lvlJc w:val="left"/>
      <w:pPr>
        <w:ind w:left="3934" w:hanging="490"/>
      </w:pPr>
      <w:rPr>
        <w:rFonts w:hint="default"/>
        <w:lang w:val="zh-CN" w:eastAsia="zh-CN" w:bidi="zh-CN"/>
      </w:rPr>
    </w:lvl>
    <w:lvl w:ilvl="5" w:tentative="0">
      <w:start w:val="0"/>
      <w:numFmt w:val="bullet"/>
      <w:lvlText w:val="•"/>
      <w:lvlJc w:val="left"/>
      <w:pPr>
        <w:ind w:left="4893" w:hanging="490"/>
      </w:pPr>
      <w:rPr>
        <w:rFonts w:hint="default"/>
        <w:lang w:val="zh-CN" w:eastAsia="zh-CN" w:bidi="zh-CN"/>
      </w:rPr>
    </w:lvl>
    <w:lvl w:ilvl="6" w:tentative="0">
      <w:start w:val="0"/>
      <w:numFmt w:val="bullet"/>
      <w:lvlText w:val="•"/>
      <w:lvlJc w:val="left"/>
      <w:pPr>
        <w:ind w:left="5851" w:hanging="490"/>
      </w:pPr>
      <w:rPr>
        <w:rFonts w:hint="default"/>
        <w:lang w:val="zh-CN" w:eastAsia="zh-CN" w:bidi="zh-CN"/>
      </w:rPr>
    </w:lvl>
    <w:lvl w:ilvl="7" w:tentative="0">
      <w:start w:val="0"/>
      <w:numFmt w:val="bullet"/>
      <w:lvlText w:val="•"/>
      <w:lvlJc w:val="left"/>
      <w:pPr>
        <w:ind w:left="6810" w:hanging="490"/>
      </w:pPr>
      <w:rPr>
        <w:rFonts w:hint="default"/>
        <w:lang w:val="zh-CN" w:eastAsia="zh-CN" w:bidi="zh-CN"/>
      </w:rPr>
    </w:lvl>
    <w:lvl w:ilvl="8" w:tentative="0">
      <w:start w:val="0"/>
      <w:numFmt w:val="bullet"/>
      <w:lvlText w:val="•"/>
      <w:lvlJc w:val="left"/>
      <w:pPr>
        <w:ind w:left="7768" w:hanging="490"/>
      </w:pPr>
      <w:rPr>
        <w:rFonts w:hint="default"/>
        <w:lang w:val="zh-CN" w:eastAsia="zh-CN" w:bidi="zh-CN"/>
      </w:rPr>
    </w:lvl>
  </w:abstractNum>
  <w:abstractNum w:abstractNumId="16">
    <w:nsid w:val="50DF3060"/>
    <w:multiLevelType w:val="multilevel"/>
    <w:tmpl w:val="50DF3060"/>
    <w:lvl w:ilvl="0" w:tentative="0">
      <w:start w:val="15"/>
      <w:numFmt w:val="decimal"/>
      <w:lvlText w:val="%1"/>
      <w:lvlJc w:val="left"/>
      <w:pPr>
        <w:ind w:left="1225" w:hanging="561"/>
      </w:pPr>
      <w:rPr>
        <w:rFonts w:hint="default"/>
        <w:lang w:val="zh-CN" w:eastAsia="zh-CN" w:bidi="zh-CN"/>
      </w:rPr>
    </w:lvl>
    <w:lvl w:ilvl="1" w:tentative="0">
      <w:start w:val="1"/>
      <w:numFmt w:val="decimal"/>
      <w:lvlText w:val="%1.%2"/>
      <w:lvlJc w:val="left"/>
      <w:pPr>
        <w:ind w:left="1225" w:hanging="561"/>
      </w:pPr>
      <w:rPr>
        <w:rFonts w:hint="default" w:ascii="宋体" w:hAnsi="宋体" w:eastAsia="宋体" w:cs="宋体"/>
        <w:w w:val="100"/>
        <w:sz w:val="23"/>
        <w:szCs w:val="23"/>
        <w:lang w:val="zh-CN" w:eastAsia="zh-CN" w:bidi="zh-CN"/>
      </w:rPr>
    </w:lvl>
    <w:lvl w:ilvl="2" w:tentative="0">
      <w:start w:val="0"/>
      <w:numFmt w:val="bullet"/>
      <w:lvlText w:val="•"/>
      <w:lvlJc w:val="left"/>
      <w:pPr>
        <w:ind w:left="2913" w:hanging="561"/>
      </w:pPr>
      <w:rPr>
        <w:rFonts w:hint="default"/>
        <w:lang w:val="zh-CN" w:eastAsia="zh-CN" w:bidi="zh-CN"/>
      </w:rPr>
    </w:lvl>
    <w:lvl w:ilvl="3" w:tentative="0">
      <w:start w:val="0"/>
      <w:numFmt w:val="bullet"/>
      <w:lvlText w:val="•"/>
      <w:lvlJc w:val="left"/>
      <w:pPr>
        <w:ind w:left="3759" w:hanging="561"/>
      </w:pPr>
      <w:rPr>
        <w:rFonts w:hint="default"/>
        <w:lang w:val="zh-CN" w:eastAsia="zh-CN" w:bidi="zh-CN"/>
      </w:rPr>
    </w:lvl>
    <w:lvl w:ilvl="4" w:tentative="0">
      <w:start w:val="0"/>
      <w:numFmt w:val="bullet"/>
      <w:lvlText w:val="•"/>
      <w:lvlJc w:val="left"/>
      <w:pPr>
        <w:ind w:left="4606" w:hanging="561"/>
      </w:pPr>
      <w:rPr>
        <w:rFonts w:hint="default"/>
        <w:lang w:val="zh-CN" w:eastAsia="zh-CN" w:bidi="zh-CN"/>
      </w:rPr>
    </w:lvl>
    <w:lvl w:ilvl="5" w:tentative="0">
      <w:start w:val="0"/>
      <w:numFmt w:val="bullet"/>
      <w:lvlText w:val="•"/>
      <w:lvlJc w:val="left"/>
      <w:pPr>
        <w:ind w:left="5453" w:hanging="561"/>
      </w:pPr>
      <w:rPr>
        <w:rFonts w:hint="default"/>
        <w:lang w:val="zh-CN" w:eastAsia="zh-CN" w:bidi="zh-CN"/>
      </w:rPr>
    </w:lvl>
    <w:lvl w:ilvl="6" w:tentative="0">
      <w:start w:val="0"/>
      <w:numFmt w:val="bullet"/>
      <w:lvlText w:val="•"/>
      <w:lvlJc w:val="left"/>
      <w:pPr>
        <w:ind w:left="6299" w:hanging="561"/>
      </w:pPr>
      <w:rPr>
        <w:rFonts w:hint="default"/>
        <w:lang w:val="zh-CN" w:eastAsia="zh-CN" w:bidi="zh-CN"/>
      </w:rPr>
    </w:lvl>
    <w:lvl w:ilvl="7" w:tentative="0">
      <w:start w:val="0"/>
      <w:numFmt w:val="bullet"/>
      <w:lvlText w:val="•"/>
      <w:lvlJc w:val="left"/>
      <w:pPr>
        <w:ind w:left="7146" w:hanging="561"/>
      </w:pPr>
      <w:rPr>
        <w:rFonts w:hint="default"/>
        <w:lang w:val="zh-CN" w:eastAsia="zh-CN" w:bidi="zh-CN"/>
      </w:rPr>
    </w:lvl>
    <w:lvl w:ilvl="8" w:tentative="0">
      <w:start w:val="0"/>
      <w:numFmt w:val="bullet"/>
      <w:lvlText w:val="•"/>
      <w:lvlJc w:val="left"/>
      <w:pPr>
        <w:ind w:left="7992" w:hanging="561"/>
      </w:pPr>
      <w:rPr>
        <w:rFonts w:hint="default"/>
        <w:lang w:val="zh-CN" w:eastAsia="zh-CN" w:bidi="zh-CN"/>
      </w:rPr>
    </w:lvl>
  </w:abstractNum>
  <w:abstractNum w:abstractNumId="17">
    <w:nsid w:val="53FD4B90"/>
    <w:multiLevelType w:val="multilevel"/>
    <w:tmpl w:val="53FD4B90"/>
    <w:lvl w:ilvl="0" w:tentative="0">
      <w:start w:val="1"/>
      <w:numFmt w:val="decimal"/>
      <w:lvlText w:val="（%1）"/>
      <w:lvlJc w:val="left"/>
      <w:pPr>
        <w:ind w:left="1359"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234" w:hanging="601"/>
      </w:pPr>
      <w:rPr>
        <w:rFonts w:hint="default"/>
        <w:lang w:val="zh-CN" w:eastAsia="zh-CN" w:bidi="zh-CN"/>
      </w:rPr>
    </w:lvl>
    <w:lvl w:ilvl="2" w:tentative="0">
      <w:start w:val="0"/>
      <w:numFmt w:val="bullet"/>
      <w:lvlText w:val="•"/>
      <w:lvlJc w:val="left"/>
      <w:pPr>
        <w:ind w:left="3109" w:hanging="601"/>
      </w:pPr>
      <w:rPr>
        <w:rFonts w:hint="default"/>
        <w:lang w:val="zh-CN" w:eastAsia="zh-CN" w:bidi="zh-CN"/>
      </w:rPr>
    </w:lvl>
    <w:lvl w:ilvl="3" w:tentative="0">
      <w:start w:val="0"/>
      <w:numFmt w:val="bullet"/>
      <w:lvlText w:val="•"/>
      <w:lvlJc w:val="left"/>
      <w:pPr>
        <w:ind w:left="3983" w:hanging="601"/>
      </w:pPr>
      <w:rPr>
        <w:rFonts w:hint="default"/>
        <w:lang w:val="zh-CN" w:eastAsia="zh-CN" w:bidi="zh-CN"/>
      </w:rPr>
    </w:lvl>
    <w:lvl w:ilvl="4" w:tentative="0">
      <w:start w:val="0"/>
      <w:numFmt w:val="bullet"/>
      <w:lvlText w:val="•"/>
      <w:lvlJc w:val="left"/>
      <w:pPr>
        <w:ind w:left="4858" w:hanging="601"/>
      </w:pPr>
      <w:rPr>
        <w:rFonts w:hint="default"/>
        <w:lang w:val="zh-CN" w:eastAsia="zh-CN" w:bidi="zh-CN"/>
      </w:rPr>
    </w:lvl>
    <w:lvl w:ilvl="5" w:tentative="0">
      <w:start w:val="0"/>
      <w:numFmt w:val="bullet"/>
      <w:lvlText w:val="•"/>
      <w:lvlJc w:val="left"/>
      <w:pPr>
        <w:ind w:left="5733" w:hanging="601"/>
      </w:pPr>
      <w:rPr>
        <w:rFonts w:hint="default"/>
        <w:lang w:val="zh-CN" w:eastAsia="zh-CN" w:bidi="zh-CN"/>
      </w:rPr>
    </w:lvl>
    <w:lvl w:ilvl="6" w:tentative="0">
      <w:start w:val="0"/>
      <w:numFmt w:val="bullet"/>
      <w:lvlText w:val="•"/>
      <w:lvlJc w:val="left"/>
      <w:pPr>
        <w:ind w:left="6607" w:hanging="601"/>
      </w:pPr>
      <w:rPr>
        <w:rFonts w:hint="default"/>
        <w:lang w:val="zh-CN" w:eastAsia="zh-CN" w:bidi="zh-CN"/>
      </w:rPr>
    </w:lvl>
    <w:lvl w:ilvl="7" w:tentative="0">
      <w:start w:val="0"/>
      <w:numFmt w:val="bullet"/>
      <w:lvlText w:val="•"/>
      <w:lvlJc w:val="left"/>
      <w:pPr>
        <w:ind w:left="7482" w:hanging="601"/>
      </w:pPr>
      <w:rPr>
        <w:rFonts w:hint="default"/>
        <w:lang w:val="zh-CN" w:eastAsia="zh-CN" w:bidi="zh-CN"/>
      </w:rPr>
    </w:lvl>
    <w:lvl w:ilvl="8" w:tentative="0">
      <w:start w:val="0"/>
      <w:numFmt w:val="bullet"/>
      <w:lvlText w:val="•"/>
      <w:lvlJc w:val="left"/>
      <w:pPr>
        <w:ind w:left="8356" w:hanging="601"/>
      </w:pPr>
      <w:rPr>
        <w:rFonts w:hint="default"/>
        <w:lang w:val="zh-CN" w:eastAsia="zh-CN" w:bidi="zh-CN"/>
      </w:rPr>
    </w:lvl>
  </w:abstractNum>
  <w:abstractNum w:abstractNumId="18">
    <w:nsid w:val="5D393043"/>
    <w:multiLevelType w:val="multilevel"/>
    <w:tmpl w:val="5D393043"/>
    <w:lvl w:ilvl="0" w:tentative="0">
      <w:start w:val="1"/>
      <w:numFmt w:val="decimal"/>
      <w:lvlText w:val="（%1）"/>
      <w:lvlJc w:val="left"/>
      <w:pPr>
        <w:ind w:left="1359"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234" w:hanging="601"/>
      </w:pPr>
      <w:rPr>
        <w:rFonts w:hint="default"/>
        <w:lang w:val="zh-CN" w:eastAsia="zh-CN" w:bidi="zh-CN"/>
      </w:rPr>
    </w:lvl>
    <w:lvl w:ilvl="2" w:tentative="0">
      <w:start w:val="0"/>
      <w:numFmt w:val="bullet"/>
      <w:lvlText w:val="•"/>
      <w:lvlJc w:val="left"/>
      <w:pPr>
        <w:ind w:left="3109" w:hanging="601"/>
      </w:pPr>
      <w:rPr>
        <w:rFonts w:hint="default"/>
        <w:lang w:val="zh-CN" w:eastAsia="zh-CN" w:bidi="zh-CN"/>
      </w:rPr>
    </w:lvl>
    <w:lvl w:ilvl="3" w:tentative="0">
      <w:start w:val="0"/>
      <w:numFmt w:val="bullet"/>
      <w:lvlText w:val="•"/>
      <w:lvlJc w:val="left"/>
      <w:pPr>
        <w:ind w:left="3983" w:hanging="601"/>
      </w:pPr>
      <w:rPr>
        <w:rFonts w:hint="default"/>
        <w:lang w:val="zh-CN" w:eastAsia="zh-CN" w:bidi="zh-CN"/>
      </w:rPr>
    </w:lvl>
    <w:lvl w:ilvl="4" w:tentative="0">
      <w:start w:val="0"/>
      <w:numFmt w:val="bullet"/>
      <w:lvlText w:val="•"/>
      <w:lvlJc w:val="left"/>
      <w:pPr>
        <w:ind w:left="4858" w:hanging="601"/>
      </w:pPr>
      <w:rPr>
        <w:rFonts w:hint="default"/>
        <w:lang w:val="zh-CN" w:eastAsia="zh-CN" w:bidi="zh-CN"/>
      </w:rPr>
    </w:lvl>
    <w:lvl w:ilvl="5" w:tentative="0">
      <w:start w:val="0"/>
      <w:numFmt w:val="bullet"/>
      <w:lvlText w:val="•"/>
      <w:lvlJc w:val="left"/>
      <w:pPr>
        <w:ind w:left="5733" w:hanging="601"/>
      </w:pPr>
      <w:rPr>
        <w:rFonts w:hint="default"/>
        <w:lang w:val="zh-CN" w:eastAsia="zh-CN" w:bidi="zh-CN"/>
      </w:rPr>
    </w:lvl>
    <w:lvl w:ilvl="6" w:tentative="0">
      <w:start w:val="0"/>
      <w:numFmt w:val="bullet"/>
      <w:lvlText w:val="•"/>
      <w:lvlJc w:val="left"/>
      <w:pPr>
        <w:ind w:left="6607" w:hanging="601"/>
      </w:pPr>
      <w:rPr>
        <w:rFonts w:hint="default"/>
        <w:lang w:val="zh-CN" w:eastAsia="zh-CN" w:bidi="zh-CN"/>
      </w:rPr>
    </w:lvl>
    <w:lvl w:ilvl="7" w:tentative="0">
      <w:start w:val="0"/>
      <w:numFmt w:val="bullet"/>
      <w:lvlText w:val="•"/>
      <w:lvlJc w:val="left"/>
      <w:pPr>
        <w:ind w:left="7482" w:hanging="601"/>
      </w:pPr>
      <w:rPr>
        <w:rFonts w:hint="default"/>
        <w:lang w:val="zh-CN" w:eastAsia="zh-CN" w:bidi="zh-CN"/>
      </w:rPr>
    </w:lvl>
    <w:lvl w:ilvl="8" w:tentative="0">
      <w:start w:val="0"/>
      <w:numFmt w:val="bullet"/>
      <w:lvlText w:val="•"/>
      <w:lvlJc w:val="left"/>
      <w:pPr>
        <w:ind w:left="8356" w:hanging="601"/>
      </w:pPr>
      <w:rPr>
        <w:rFonts w:hint="default"/>
        <w:lang w:val="zh-CN" w:eastAsia="zh-CN" w:bidi="zh-CN"/>
      </w:rPr>
    </w:lvl>
  </w:abstractNum>
  <w:abstractNum w:abstractNumId="19">
    <w:nsid w:val="710C32DA"/>
    <w:multiLevelType w:val="multilevel"/>
    <w:tmpl w:val="710C32DA"/>
    <w:lvl w:ilvl="0" w:tentative="0">
      <w:start w:val="10"/>
      <w:numFmt w:val="decimal"/>
      <w:lvlText w:val="%1"/>
      <w:lvlJc w:val="left"/>
      <w:pPr>
        <w:ind w:left="1214" w:hanging="630"/>
      </w:pPr>
      <w:rPr>
        <w:rFonts w:hint="default"/>
        <w:lang w:val="zh-CN" w:eastAsia="zh-CN" w:bidi="zh-CN"/>
      </w:rPr>
    </w:lvl>
    <w:lvl w:ilvl="1" w:tentative="0">
      <w:start w:val="1"/>
      <w:numFmt w:val="decimal"/>
      <w:lvlText w:val="%1.%2"/>
      <w:lvlJc w:val="left"/>
      <w:pPr>
        <w:ind w:left="1214" w:hanging="630"/>
        <w:jc w:val="right"/>
      </w:pPr>
      <w:rPr>
        <w:rFonts w:hint="default" w:ascii="宋体" w:hAnsi="宋体" w:eastAsia="宋体" w:cs="宋体"/>
        <w:w w:val="100"/>
        <w:sz w:val="23"/>
        <w:szCs w:val="23"/>
        <w:lang w:val="zh-CN" w:eastAsia="zh-CN" w:bidi="zh-CN"/>
      </w:rPr>
    </w:lvl>
    <w:lvl w:ilvl="2" w:tentative="0">
      <w:start w:val="0"/>
      <w:numFmt w:val="bullet"/>
      <w:lvlText w:val="•"/>
      <w:lvlJc w:val="left"/>
      <w:pPr>
        <w:ind w:left="2913" w:hanging="630"/>
      </w:pPr>
      <w:rPr>
        <w:rFonts w:hint="default"/>
        <w:lang w:val="zh-CN" w:eastAsia="zh-CN" w:bidi="zh-CN"/>
      </w:rPr>
    </w:lvl>
    <w:lvl w:ilvl="3" w:tentative="0">
      <w:start w:val="0"/>
      <w:numFmt w:val="bullet"/>
      <w:lvlText w:val="•"/>
      <w:lvlJc w:val="left"/>
      <w:pPr>
        <w:ind w:left="3759" w:hanging="630"/>
      </w:pPr>
      <w:rPr>
        <w:rFonts w:hint="default"/>
        <w:lang w:val="zh-CN" w:eastAsia="zh-CN" w:bidi="zh-CN"/>
      </w:rPr>
    </w:lvl>
    <w:lvl w:ilvl="4" w:tentative="0">
      <w:start w:val="0"/>
      <w:numFmt w:val="bullet"/>
      <w:lvlText w:val="•"/>
      <w:lvlJc w:val="left"/>
      <w:pPr>
        <w:ind w:left="4606" w:hanging="630"/>
      </w:pPr>
      <w:rPr>
        <w:rFonts w:hint="default"/>
        <w:lang w:val="zh-CN" w:eastAsia="zh-CN" w:bidi="zh-CN"/>
      </w:rPr>
    </w:lvl>
    <w:lvl w:ilvl="5" w:tentative="0">
      <w:start w:val="0"/>
      <w:numFmt w:val="bullet"/>
      <w:lvlText w:val="•"/>
      <w:lvlJc w:val="left"/>
      <w:pPr>
        <w:ind w:left="5453" w:hanging="630"/>
      </w:pPr>
      <w:rPr>
        <w:rFonts w:hint="default"/>
        <w:lang w:val="zh-CN" w:eastAsia="zh-CN" w:bidi="zh-CN"/>
      </w:rPr>
    </w:lvl>
    <w:lvl w:ilvl="6" w:tentative="0">
      <w:start w:val="0"/>
      <w:numFmt w:val="bullet"/>
      <w:lvlText w:val="•"/>
      <w:lvlJc w:val="left"/>
      <w:pPr>
        <w:ind w:left="6299" w:hanging="630"/>
      </w:pPr>
      <w:rPr>
        <w:rFonts w:hint="default"/>
        <w:lang w:val="zh-CN" w:eastAsia="zh-CN" w:bidi="zh-CN"/>
      </w:rPr>
    </w:lvl>
    <w:lvl w:ilvl="7" w:tentative="0">
      <w:start w:val="0"/>
      <w:numFmt w:val="bullet"/>
      <w:lvlText w:val="•"/>
      <w:lvlJc w:val="left"/>
      <w:pPr>
        <w:ind w:left="7146" w:hanging="630"/>
      </w:pPr>
      <w:rPr>
        <w:rFonts w:hint="default"/>
        <w:lang w:val="zh-CN" w:eastAsia="zh-CN" w:bidi="zh-CN"/>
      </w:rPr>
    </w:lvl>
    <w:lvl w:ilvl="8" w:tentative="0">
      <w:start w:val="0"/>
      <w:numFmt w:val="bullet"/>
      <w:lvlText w:val="•"/>
      <w:lvlJc w:val="left"/>
      <w:pPr>
        <w:ind w:left="7992" w:hanging="630"/>
      </w:pPr>
      <w:rPr>
        <w:rFonts w:hint="default"/>
        <w:lang w:val="zh-CN" w:eastAsia="zh-CN" w:bidi="zh-CN"/>
      </w:rPr>
    </w:lvl>
  </w:abstractNum>
  <w:abstractNum w:abstractNumId="20">
    <w:nsid w:val="74C91D73"/>
    <w:multiLevelType w:val="multilevel"/>
    <w:tmpl w:val="74C91D73"/>
    <w:lvl w:ilvl="0" w:tentative="0">
      <w:start w:val="26"/>
      <w:numFmt w:val="decimal"/>
      <w:lvlText w:val="%1"/>
      <w:lvlJc w:val="left"/>
      <w:pPr>
        <w:ind w:left="104" w:hanging="630"/>
      </w:pPr>
      <w:rPr>
        <w:rFonts w:hint="default"/>
        <w:lang w:val="zh-CN" w:eastAsia="zh-CN" w:bidi="zh-CN"/>
      </w:rPr>
    </w:lvl>
    <w:lvl w:ilvl="1" w:tentative="0">
      <w:start w:val="1"/>
      <w:numFmt w:val="decimal"/>
      <w:lvlText w:val="%1.%2"/>
      <w:lvlJc w:val="left"/>
      <w:pPr>
        <w:ind w:left="104" w:hanging="630"/>
      </w:pPr>
      <w:rPr>
        <w:rFonts w:hint="default" w:ascii="宋体" w:hAnsi="宋体" w:eastAsia="宋体" w:cs="宋体"/>
        <w:w w:val="100"/>
        <w:sz w:val="23"/>
        <w:szCs w:val="23"/>
        <w:lang w:val="zh-CN" w:eastAsia="zh-CN" w:bidi="zh-CN"/>
      </w:rPr>
    </w:lvl>
    <w:lvl w:ilvl="2" w:tentative="0">
      <w:start w:val="0"/>
      <w:numFmt w:val="bullet"/>
      <w:lvlText w:val="•"/>
      <w:lvlJc w:val="left"/>
      <w:pPr>
        <w:ind w:left="2017" w:hanging="630"/>
      </w:pPr>
      <w:rPr>
        <w:rFonts w:hint="default"/>
        <w:lang w:val="zh-CN" w:eastAsia="zh-CN" w:bidi="zh-CN"/>
      </w:rPr>
    </w:lvl>
    <w:lvl w:ilvl="3" w:tentative="0">
      <w:start w:val="0"/>
      <w:numFmt w:val="bullet"/>
      <w:lvlText w:val="•"/>
      <w:lvlJc w:val="left"/>
      <w:pPr>
        <w:ind w:left="2975" w:hanging="630"/>
      </w:pPr>
      <w:rPr>
        <w:rFonts w:hint="default"/>
        <w:lang w:val="zh-CN" w:eastAsia="zh-CN" w:bidi="zh-CN"/>
      </w:rPr>
    </w:lvl>
    <w:lvl w:ilvl="4" w:tentative="0">
      <w:start w:val="0"/>
      <w:numFmt w:val="bullet"/>
      <w:lvlText w:val="•"/>
      <w:lvlJc w:val="left"/>
      <w:pPr>
        <w:ind w:left="3934" w:hanging="630"/>
      </w:pPr>
      <w:rPr>
        <w:rFonts w:hint="default"/>
        <w:lang w:val="zh-CN" w:eastAsia="zh-CN" w:bidi="zh-CN"/>
      </w:rPr>
    </w:lvl>
    <w:lvl w:ilvl="5" w:tentative="0">
      <w:start w:val="0"/>
      <w:numFmt w:val="bullet"/>
      <w:lvlText w:val="•"/>
      <w:lvlJc w:val="left"/>
      <w:pPr>
        <w:ind w:left="4893" w:hanging="630"/>
      </w:pPr>
      <w:rPr>
        <w:rFonts w:hint="default"/>
        <w:lang w:val="zh-CN" w:eastAsia="zh-CN" w:bidi="zh-CN"/>
      </w:rPr>
    </w:lvl>
    <w:lvl w:ilvl="6" w:tentative="0">
      <w:start w:val="0"/>
      <w:numFmt w:val="bullet"/>
      <w:lvlText w:val="•"/>
      <w:lvlJc w:val="left"/>
      <w:pPr>
        <w:ind w:left="5851" w:hanging="630"/>
      </w:pPr>
      <w:rPr>
        <w:rFonts w:hint="default"/>
        <w:lang w:val="zh-CN" w:eastAsia="zh-CN" w:bidi="zh-CN"/>
      </w:rPr>
    </w:lvl>
    <w:lvl w:ilvl="7" w:tentative="0">
      <w:start w:val="0"/>
      <w:numFmt w:val="bullet"/>
      <w:lvlText w:val="•"/>
      <w:lvlJc w:val="left"/>
      <w:pPr>
        <w:ind w:left="6810" w:hanging="630"/>
      </w:pPr>
      <w:rPr>
        <w:rFonts w:hint="default"/>
        <w:lang w:val="zh-CN" w:eastAsia="zh-CN" w:bidi="zh-CN"/>
      </w:rPr>
    </w:lvl>
    <w:lvl w:ilvl="8" w:tentative="0">
      <w:start w:val="0"/>
      <w:numFmt w:val="bullet"/>
      <w:lvlText w:val="•"/>
      <w:lvlJc w:val="left"/>
      <w:pPr>
        <w:ind w:left="7768" w:hanging="630"/>
      </w:pPr>
      <w:rPr>
        <w:rFonts w:hint="default"/>
        <w:lang w:val="zh-CN" w:eastAsia="zh-CN" w:bidi="zh-CN"/>
      </w:rPr>
    </w:lvl>
  </w:abstractNum>
  <w:abstractNum w:abstractNumId="21">
    <w:nsid w:val="7AF02AC8"/>
    <w:multiLevelType w:val="multilevel"/>
    <w:tmpl w:val="7AF02AC8"/>
    <w:lvl w:ilvl="0" w:tentative="0">
      <w:start w:val="14"/>
      <w:numFmt w:val="decimal"/>
      <w:lvlText w:val="%1"/>
      <w:lvlJc w:val="left"/>
      <w:pPr>
        <w:ind w:left="104" w:hanging="561"/>
      </w:pPr>
      <w:rPr>
        <w:rFonts w:hint="default"/>
        <w:lang w:val="zh-CN" w:eastAsia="zh-CN" w:bidi="zh-CN"/>
      </w:rPr>
    </w:lvl>
    <w:lvl w:ilvl="1" w:tentative="0">
      <w:start w:val="1"/>
      <w:numFmt w:val="decimal"/>
      <w:lvlText w:val="%1.%2"/>
      <w:lvlJc w:val="left"/>
      <w:pPr>
        <w:ind w:left="84" w:hanging="561"/>
        <w:jc w:val="right"/>
      </w:pPr>
      <w:rPr>
        <w:rFonts w:hint="default" w:ascii="宋体" w:hAnsi="宋体" w:eastAsia="宋体" w:cs="宋体"/>
        <w:spacing w:val="0"/>
        <w:w w:val="83"/>
        <w:sz w:val="23"/>
        <w:szCs w:val="23"/>
        <w:lang w:val="zh-CN" w:eastAsia="zh-CN" w:bidi="zh-CN"/>
      </w:rPr>
    </w:lvl>
    <w:lvl w:ilvl="2" w:tentative="0">
      <w:start w:val="0"/>
      <w:numFmt w:val="bullet"/>
      <w:lvlText w:val="•"/>
      <w:lvlJc w:val="left"/>
      <w:pPr>
        <w:ind w:left="2017" w:hanging="561"/>
      </w:pPr>
      <w:rPr>
        <w:rFonts w:hint="default"/>
        <w:lang w:val="zh-CN" w:eastAsia="zh-CN" w:bidi="zh-CN"/>
      </w:rPr>
    </w:lvl>
    <w:lvl w:ilvl="3" w:tentative="0">
      <w:start w:val="0"/>
      <w:numFmt w:val="bullet"/>
      <w:lvlText w:val="•"/>
      <w:lvlJc w:val="left"/>
      <w:pPr>
        <w:ind w:left="2975" w:hanging="561"/>
      </w:pPr>
      <w:rPr>
        <w:rFonts w:hint="default"/>
        <w:lang w:val="zh-CN" w:eastAsia="zh-CN" w:bidi="zh-CN"/>
      </w:rPr>
    </w:lvl>
    <w:lvl w:ilvl="4" w:tentative="0">
      <w:start w:val="0"/>
      <w:numFmt w:val="bullet"/>
      <w:lvlText w:val="•"/>
      <w:lvlJc w:val="left"/>
      <w:pPr>
        <w:ind w:left="3934" w:hanging="561"/>
      </w:pPr>
      <w:rPr>
        <w:rFonts w:hint="default"/>
        <w:lang w:val="zh-CN" w:eastAsia="zh-CN" w:bidi="zh-CN"/>
      </w:rPr>
    </w:lvl>
    <w:lvl w:ilvl="5" w:tentative="0">
      <w:start w:val="0"/>
      <w:numFmt w:val="bullet"/>
      <w:lvlText w:val="•"/>
      <w:lvlJc w:val="left"/>
      <w:pPr>
        <w:ind w:left="4893" w:hanging="561"/>
      </w:pPr>
      <w:rPr>
        <w:rFonts w:hint="default"/>
        <w:lang w:val="zh-CN" w:eastAsia="zh-CN" w:bidi="zh-CN"/>
      </w:rPr>
    </w:lvl>
    <w:lvl w:ilvl="6" w:tentative="0">
      <w:start w:val="0"/>
      <w:numFmt w:val="bullet"/>
      <w:lvlText w:val="•"/>
      <w:lvlJc w:val="left"/>
      <w:pPr>
        <w:ind w:left="5851" w:hanging="561"/>
      </w:pPr>
      <w:rPr>
        <w:rFonts w:hint="default"/>
        <w:lang w:val="zh-CN" w:eastAsia="zh-CN" w:bidi="zh-CN"/>
      </w:rPr>
    </w:lvl>
    <w:lvl w:ilvl="7" w:tentative="0">
      <w:start w:val="0"/>
      <w:numFmt w:val="bullet"/>
      <w:lvlText w:val="•"/>
      <w:lvlJc w:val="left"/>
      <w:pPr>
        <w:ind w:left="6810" w:hanging="561"/>
      </w:pPr>
      <w:rPr>
        <w:rFonts w:hint="default"/>
        <w:lang w:val="zh-CN" w:eastAsia="zh-CN" w:bidi="zh-CN"/>
      </w:rPr>
    </w:lvl>
    <w:lvl w:ilvl="8" w:tentative="0">
      <w:start w:val="0"/>
      <w:numFmt w:val="bullet"/>
      <w:lvlText w:val="•"/>
      <w:lvlJc w:val="left"/>
      <w:pPr>
        <w:ind w:left="7768" w:hanging="561"/>
      </w:pPr>
      <w:rPr>
        <w:rFonts w:hint="default"/>
        <w:lang w:val="zh-CN" w:eastAsia="zh-CN" w:bidi="zh-CN"/>
      </w:rPr>
    </w:lvl>
  </w:abstractNum>
  <w:abstractNum w:abstractNumId="22">
    <w:nsid w:val="7D822904"/>
    <w:multiLevelType w:val="multilevel"/>
    <w:tmpl w:val="7D822904"/>
    <w:lvl w:ilvl="0" w:tentative="0">
      <w:start w:val="1"/>
      <w:numFmt w:val="decimal"/>
      <w:lvlText w:val="（%1）"/>
      <w:lvlJc w:val="left"/>
      <w:pPr>
        <w:ind w:left="1359"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234" w:hanging="601"/>
      </w:pPr>
      <w:rPr>
        <w:rFonts w:hint="default"/>
        <w:lang w:val="zh-CN" w:eastAsia="zh-CN" w:bidi="zh-CN"/>
      </w:rPr>
    </w:lvl>
    <w:lvl w:ilvl="2" w:tentative="0">
      <w:start w:val="0"/>
      <w:numFmt w:val="bullet"/>
      <w:lvlText w:val="•"/>
      <w:lvlJc w:val="left"/>
      <w:pPr>
        <w:ind w:left="3109" w:hanging="601"/>
      </w:pPr>
      <w:rPr>
        <w:rFonts w:hint="default"/>
        <w:lang w:val="zh-CN" w:eastAsia="zh-CN" w:bidi="zh-CN"/>
      </w:rPr>
    </w:lvl>
    <w:lvl w:ilvl="3" w:tentative="0">
      <w:start w:val="0"/>
      <w:numFmt w:val="bullet"/>
      <w:lvlText w:val="•"/>
      <w:lvlJc w:val="left"/>
      <w:pPr>
        <w:ind w:left="3983" w:hanging="601"/>
      </w:pPr>
      <w:rPr>
        <w:rFonts w:hint="default"/>
        <w:lang w:val="zh-CN" w:eastAsia="zh-CN" w:bidi="zh-CN"/>
      </w:rPr>
    </w:lvl>
    <w:lvl w:ilvl="4" w:tentative="0">
      <w:start w:val="0"/>
      <w:numFmt w:val="bullet"/>
      <w:lvlText w:val="•"/>
      <w:lvlJc w:val="left"/>
      <w:pPr>
        <w:ind w:left="4858" w:hanging="601"/>
      </w:pPr>
      <w:rPr>
        <w:rFonts w:hint="default"/>
        <w:lang w:val="zh-CN" w:eastAsia="zh-CN" w:bidi="zh-CN"/>
      </w:rPr>
    </w:lvl>
    <w:lvl w:ilvl="5" w:tentative="0">
      <w:start w:val="0"/>
      <w:numFmt w:val="bullet"/>
      <w:lvlText w:val="•"/>
      <w:lvlJc w:val="left"/>
      <w:pPr>
        <w:ind w:left="5733" w:hanging="601"/>
      </w:pPr>
      <w:rPr>
        <w:rFonts w:hint="default"/>
        <w:lang w:val="zh-CN" w:eastAsia="zh-CN" w:bidi="zh-CN"/>
      </w:rPr>
    </w:lvl>
    <w:lvl w:ilvl="6" w:tentative="0">
      <w:start w:val="0"/>
      <w:numFmt w:val="bullet"/>
      <w:lvlText w:val="•"/>
      <w:lvlJc w:val="left"/>
      <w:pPr>
        <w:ind w:left="6607" w:hanging="601"/>
      </w:pPr>
      <w:rPr>
        <w:rFonts w:hint="default"/>
        <w:lang w:val="zh-CN" w:eastAsia="zh-CN" w:bidi="zh-CN"/>
      </w:rPr>
    </w:lvl>
    <w:lvl w:ilvl="7" w:tentative="0">
      <w:start w:val="0"/>
      <w:numFmt w:val="bullet"/>
      <w:lvlText w:val="•"/>
      <w:lvlJc w:val="left"/>
      <w:pPr>
        <w:ind w:left="7482" w:hanging="601"/>
      </w:pPr>
      <w:rPr>
        <w:rFonts w:hint="default"/>
        <w:lang w:val="zh-CN" w:eastAsia="zh-CN" w:bidi="zh-CN"/>
      </w:rPr>
    </w:lvl>
    <w:lvl w:ilvl="8" w:tentative="0">
      <w:start w:val="0"/>
      <w:numFmt w:val="bullet"/>
      <w:lvlText w:val="•"/>
      <w:lvlJc w:val="left"/>
      <w:pPr>
        <w:ind w:left="8356" w:hanging="601"/>
      </w:pPr>
      <w:rPr>
        <w:rFonts w:hint="default"/>
        <w:lang w:val="zh-CN" w:eastAsia="zh-CN" w:bidi="zh-CN"/>
      </w:rPr>
    </w:lvl>
  </w:abstractNum>
  <w:num w:numId="1">
    <w:abstractNumId w:val="5"/>
  </w:num>
  <w:num w:numId="2">
    <w:abstractNumId w:val="15"/>
  </w:num>
  <w:num w:numId="3">
    <w:abstractNumId w:val="19"/>
  </w:num>
  <w:num w:numId="4">
    <w:abstractNumId w:val="1"/>
  </w:num>
  <w:num w:numId="5">
    <w:abstractNumId w:val="10"/>
  </w:num>
  <w:num w:numId="6">
    <w:abstractNumId w:val="21"/>
  </w:num>
  <w:num w:numId="7">
    <w:abstractNumId w:val="14"/>
  </w:num>
  <w:num w:numId="8">
    <w:abstractNumId w:val="16"/>
  </w:num>
  <w:num w:numId="9">
    <w:abstractNumId w:val="12"/>
  </w:num>
  <w:num w:numId="10">
    <w:abstractNumId w:val="7"/>
  </w:num>
  <w:num w:numId="11">
    <w:abstractNumId w:val="3"/>
  </w:num>
  <w:num w:numId="12">
    <w:abstractNumId w:val="6"/>
  </w:num>
  <w:num w:numId="13">
    <w:abstractNumId w:val="11"/>
  </w:num>
  <w:num w:numId="14">
    <w:abstractNumId w:val="0"/>
  </w:num>
  <w:num w:numId="15">
    <w:abstractNumId w:val="8"/>
  </w:num>
  <w:num w:numId="16">
    <w:abstractNumId w:val="20"/>
  </w:num>
  <w:num w:numId="17">
    <w:abstractNumId w:val="9"/>
  </w:num>
  <w:num w:numId="18">
    <w:abstractNumId w:val="2"/>
  </w:num>
  <w:num w:numId="19">
    <w:abstractNumId w:val="22"/>
  </w:num>
  <w:num w:numId="20">
    <w:abstractNumId w:val="18"/>
  </w:num>
  <w:num w:numId="21">
    <w:abstractNumId w:val="4"/>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0"/>
  <w:drawingGridHorizontalSpacing w:val="110"/>
  <w:displayHorizontalDrawingGridEvery w:val="2"/>
  <w:characterSpacingControl w:val="doNotCompress"/>
  <w:compat>
    <w:ulTrailSpace/>
    <w:useFELayout/>
    <w:compatSetting w:name="compatibilityMode" w:uri="http://schemas.microsoft.com/office/word" w:val="12"/>
  </w:compat>
  <w:rsids>
    <w:rsidRoot w:val="0057516F"/>
    <w:rsid w:val="0000048E"/>
    <w:rsid w:val="00000638"/>
    <w:rsid w:val="00004355"/>
    <w:rsid w:val="000100FF"/>
    <w:rsid w:val="000225C5"/>
    <w:rsid w:val="00036F26"/>
    <w:rsid w:val="00042869"/>
    <w:rsid w:val="00042FC1"/>
    <w:rsid w:val="00044CDF"/>
    <w:rsid w:val="000478B3"/>
    <w:rsid w:val="0005301B"/>
    <w:rsid w:val="000547FD"/>
    <w:rsid w:val="000570F9"/>
    <w:rsid w:val="00060194"/>
    <w:rsid w:val="00067D28"/>
    <w:rsid w:val="000714F1"/>
    <w:rsid w:val="00075CF8"/>
    <w:rsid w:val="00080613"/>
    <w:rsid w:val="00080B03"/>
    <w:rsid w:val="000821B1"/>
    <w:rsid w:val="00082DBE"/>
    <w:rsid w:val="00085C62"/>
    <w:rsid w:val="00087061"/>
    <w:rsid w:val="00087F4B"/>
    <w:rsid w:val="000971F5"/>
    <w:rsid w:val="000A2B27"/>
    <w:rsid w:val="000A4D38"/>
    <w:rsid w:val="000B195C"/>
    <w:rsid w:val="000B4AA2"/>
    <w:rsid w:val="000B4D15"/>
    <w:rsid w:val="000C03B7"/>
    <w:rsid w:val="000C35C0"/>
    <w:rsid w:val="000C59D3"/>
    <w:rsid w:val="000D3FE7"/>
    <w:rsid w:val="000E3DE7"/>
    <w:rsid w:val="000E5947"/>
    <w:rsid w:val="000E6D94"/>
    <w:rsid w:val="000F4519"/>
    <w:rsid w:val="000F7D67"/>
    <w:rsid w:val="001066F2"/>
    <w:rsid w:val="0010787E"/>
    <w:rsid w:val="00121CEC"/>
    <w:rsid w:val="001243C5"/>
    <w:rsid w:val="001261E5"/>
    <w:rsid w:val="00133106"/>
    <w:rsid w:val="0014074A"/>
    <w:rsid w:val="0014134F"/>
    <w:rsid w:val="00152ED9"/>
    <w:rsid w:val="0015497F"/>
    <w:rsid w:val="00156DC3"/>
    <w:rsid w:val="001572B6"/>
    <w:rsid w:val="00157AE7"/>
    <w:rsid w:val="001700AB"/>
    <w:rsid w:val="00170BB4"/>
    <w:rsid w:val="00171FA6"/>
    <w:rsid w:val="00173CC8"/>
    <w:rsid w:val="00174D14"/>
    <w:rsid w:val="001835C7"/>
    <w:rsid w:val="0018678C"/>
    <w:rsid w:val="00187E3D"/>
    <w:rsid w:val="00193118"/>
    <w:rsid w:val="001945C8"/>
    <w:rsid w:val="001A05C0"/>
    <w:rsid w:val="001A0F25"/>
    <w:rsid w:val="001A7382"/>
    <w:rsid w:val="001B4C91"/>
    <w:rsid w:val="001B69E7"/>
    <w:rsid w:val="001C0681"/>
    <w:rsid w:val="001C2A68"/>
    <w:rsid w:val="001C2A75"/>
    <w:rsid w:val="001C2C86"/>
    <w:rsid w:val="001C2FB7"/>
    <w:rsid w:val="001D415E"/>
    <w:rsid w:val="001D4895"/>
    <w:rsid w:val="001D5683"/>
    <w:rsid w:val="001E5A67"/>
    <w:rsid w:val="001F2F9B"/>
    <w:rsid w:val="001F3EBF"/>
    <w:rsid w:val="001F5976"/>
    <w:rsid w:val="00204D09"/>
    <w:rsid w:val="002052FC"/>
    <w:rsid w:val="0022115B"/>
    <w:rsid w:val="0023098C"/>
    <w:rsid w:val="002321AD"/>
    <w:rsid w:val="0023250D"/>
    <w:rsid w:val="002378D4"/>
    <w:rsid w:val="00252BE4"/>
    <w:rsid w:val="00257896"/>
    <w:rsid w:val="002652F5"/>
    <w:rsid w:val="00265342"/>
    <w:rsid w:val="002700F5"/>
    <w:rsid w:val="002726D0"/>
    <w:rsid w:val="00280A69"/>
    <w:rsid w:val="00285F36"/>
    <w:rsid w:val="002868E6"/>
    <w:rsid w:val="00292D18"/>
    <w:rsid w:val="00293D69"/>
    <w:rsid w:val="00293F6F"/>
    <w:rsid w:val="002948FA"/>
    <w:rsid w:val="00295E88"/>
    <w:rsid w:val="00295FE5"/>
    <w:rsid w:val="002968DF"/>
    <w:rsid w:val="00297D8C"/>
    <w:rsid w:val="002A7322"/>
    <w:rsid w:val="002B1080"/>
    <w:rsid w:val="002B1E35"/>
    <w:rsid w:val="002B5804"/>
    <w:rsid w:val="002B69B8"/>
    <w:rsid w:val="002C0713"/>
    <w:rsid w:val="002C491C"/>
    <w:rsid w:val="002C7085"/>
    <w:rsid w:val="002D1FC7"/>
    <w:rsid w:val="002D28F3"/>
    <w:rsid w:val="002D38F9"/>
    <w:rsid w:val="002D6470"/>
    <w:rsid w:val="002E40C9"/>
    <w:rsid w:val="002E5187"/>
    <w:rsid w:val="002F082F"/>
    <w:rsid w:val="002F6240"/>
    <w:rsid w:val="00302244"/>
    <w:rsid w:val="00304324"/>
    <w:rsid w:val="003137C4"/>
    <w:rsid w:val="003147B0"/>
    <w:rsid w:val="00326DEC"/>
    <w:rsid w:val="00333484"/>
    <w:rsid w:val="00335123"/>
    <w:rsid w:val="00337C95"/>
    <w:rsid w:val="003418EC"/>
    <w:rsid w:val="00344D37"/>
    <w:rsid w:val="003467CD"/>
    <w:rsid w:val="0034786F"/>
    <w:rsid w:val="00355FA7"/>
    <w:rsid w:val="003610FA"/>
    <w:rsid w:val="003711F3"/>
    <w:rsid w:val="003761C9"/>
    <w:rsid w:val="00383BBD"/>
    <w:rsid w:val="003860DE"/>
    <w:rsid w:val="00390EF7"/>
    <w:rsid w:val="003934E3"/>
    <w:rsid w:val="00394050"/>
    <w:rsid w:val="00394FE5"/>
    <w:rsid w:val="003958B8"/>
    <w:rsid w:val="0039597D"/>
    <w:rsid w:val="003A0CC5"/>
    <w:rsid w:val="003B3364"/>
    <w:rsid w:val="003B74BF"/>
    <w:rsid w:val="003C2D2E"/>
    <w:rsid w:val="003C45B0"/>
    <w:rsid w:val="003C45E0"/>
    <w:rsid w:val="003C548A"/>
    <w:rsid w:val="003D4442"/>
    <w:rsid w:val="003D7599"/>
    <w:rsid w:val="003E1CA4"/>
    <w:rsid w:val="003F44B5"/>
    <w:rsid w:val="00400CA7"/>
    <w:rsid w:val="0040293D"/>
    <w:rsid w:val="00402F37"/>
    <w:rsid w:val="00410C99"/>
    <w:rsid w:val="00421E37"/>
    <w:rsid w:val="00421E78"/>
    <w:rsid w:val="004247EF"/>
    <w:rsid w:val="004355E5"/>
    <w:rsid w:val="00441C80"/>
    <w:rsid w:val="00450A1A"/>
    <w:rsid w:val="00451626"/>
    <w:rsid w:val="0045296E"/>
    <w:rsid w:val="00453B32"/>
    <w:rsid w:val="00455BAD"/>
    <w:rsid w:val="00455F11"/>
    <w:rsid w:val="004567D9"/>
    <w:rsid w:val="0045715C"/>
    <w:rsid w:val="004616C4"/>
    <w:rsid w:val="00462282"/>
    <w:rsid w:val="00462F4A"/>
    <w:rsid w:val="004649C8"/>
    <w:rsid w:val="00466B5E"/>
    <w:rsid w:val="00466BCA"/>
    <w:rsid w:val="00477819"/>
    <w:rsid w:val="00477D59"/>
    <w:rsid w:val="00484719"/>
    <w:rsid w:val="004849C2"/>
    <w:rsid w:val="004866B5"/>
    <w:rsid w:val="00487F50"/>
    <w:rsid w:val="004930AF"/>
    <w:rsid w:val="0049519D"/>
    <w:rsid w:val="004A1A0B"/>
    <w:rsid w:val="004A45C5"/>
    <w:rsid w:val="004B1EA5"/>
    <w:rsid w:val="004B54EC"/>
    <w:rsid w:val="004C08B6"/>
    <w:rsid w:val="004C2896"/>
    <w:rsid w:val="004C28FF"/>
    <w:rsid w:val="004C3C69"/>
    <w:rsid w:val="004C529E"/>
    <w:rsid w:val="004C6F7D"/>
    <w:rsid w:val="004D15C9"/>
    <w:rsid w:val="004E43FF"/>
    <w:rsid w:val="004F1268"/>
    <w:rsid w:val="004F2F89"/>
    <w:rsid w:val="004F4987"/>
    <w:rsid w:val="004F6E41"/>
    <w:rsid w:val="004F75E7"/>
    <w:rsid w:val="0050335E"/>
    <w:rsid w:val="00504465"/>
    <w:rsid w:val="005103D0"/>
    <w:rsid w:val="005121C0"/>
    <w:rsid w:val="005231E8"/>
    <w:rsid w:val="00523B4F"/>
    <w:rsid w:val="00524607"/>
    <w:rsid w:val="005274AF"/>
    <w:rsid w:val="00532F28"/>
    <w:rsid w:val="00536801"/>
    <w:rsid w:val="00547C60"/>
    <w:rsid w:val="0055067E"/>
    <w:rsid w:val="00553836"/>
    <w:rsid w:val="005562F4"/>
    <w:rsid w:val="00556E28"/>
    <w:rsid w:val="00564C0C"/>
    <w:rsid w:val="00570AF5"/>
    <w:rsid w:val="0057516F"/>
    <w:rsid w:val="00577394"/>
    <w:rsid w:val="00580072"/>
    <w:rsid w:val="00581D9F"/>
    <w:rsid w:val="00582627"/>
    <w:rsid w:val="00582F48"/>
    <w:rsid w:val="00590CCC"/>
    <w:rsid w:val="005A68AE"/>
    <w:rsid w:val="005B1451"/>
    <w:rsid w:val="005B180A"/>
    <w:rsid w:val="005B25C0"/>
    <w:rsid w:val="005B3A50"/>
    <w:rsid w:val="005C6EC5"/>
    <w:rsid w:val="005D01DE"/>
    <w:rsid w:val="005D1153"/>
    <w:rsid w:val="005D3CDD"/>
    <w:rsid w:val="005D4935"/>
    <w:rsid w:val="005D701E"/>
    <w:rsid w:val="005D76FC"/>
    <w:rsid w:val="005E3B49"/>
    <w:rsid w:val="005E3DE5"/>
    <w:rsid w:val="005E532A"/>
    <w:rsid w:val="005F0F56"/>
    <w:rsid w:val="005F4BAB"/>
    <w:rsid w:val="005F50F3"/>
    <w:rsid w:val="00601CB8"/>
    <w:rsid w:val="00605C0F"/>
    <w:rsid w:val="0061180E"/>
    <w:rsid w:val="00630F18"/>
    <w:rsid w:val="0063277A"/>
    <w:rsid w:val="006372C6"/>
    <w:rsid w:val="006411BA"/>
    <w:rsid w:val="006417E8"/>
    <w:rsid w:val="00641C6A"/>
    <w:rsid w:val="0064287C"/>
    <w:rsid w:val="00644DA0"/>
    <w:rsid w:val="0064700A"/>
    <w:rsid w:val="006505B9"/>
    <w:rsid w:val="00660CE7"/>
    <w:rsid w:val="0066169D"/>
    <w:rsid w:val="0066403D"/>
    <w:rsid w:val="0066615C"/>
    <w:rsid w:val="006664A0"/>
    <w:rsid w:val="00673FC4"/>
    <w:rsid w:val="0068167C"/>
    <w:rsid w:val="00684C4C"/>
    <w:rsid w:val="006862DA"/>
    <w:rsid w:val="00687459"/>
    <w:rsid w:val="00687B8E"/>
    <w:rsid w:val="006915C7"/>
    <w:rsid w:val="00691D15"/>
    <w:rsid w:val="00692CFF"/>
    <w:rsid w:val="006951FC"/>
    <w:rsid w:val="00695CC5"/>
    <w:rsid w:val="006A036D"/>
    <w:rsid w:val="006A7982"/>
    <w:rsid w:val="006C082B"/>
    <w:rsid w:val="006C231F"/>
    <w:rsid w:val="006C250E"/>
    <w:rsid w:val="006C2E10"/>
    <w:rsid w:val="006C3F50"/>
    <w:rsid w:val="006C449E"/>
    <w:rsid w:val="006D50CD"/>
    <w:rsid w:val="006D7910"/>
    <w:rsid w:val="006E5752"/>
    <w:rsid w:val="006E6EA0"/>
    <w:rsid w:val="006E76E2"/>
    <w:rsid w:val="006F3C1F"/>
    <w:rsid w:val="006F410F"/>
    <w:rsid w:val="007012B4"/>
    <w:rsid w:val="00703928"/>
    <w:rsid w:val="00703B23"/>
    <w:rsid w:val="007263AD"/>
    <w:rsid w:val="00727BC0"/>
    <w:rsid w:val="00741BBD"/>
    <w:rsid w:val="00753B15"/>
    <w:rsid w:val="00753BD7"/>
    <w:rsid w:val="0075465B"/>
    <w:rsid w:val="0075485A"/>
    <w:rsid w:val="0075589A"/>
    <w:rsid w:val="007567C3"/>
    <w:rsid w:val="007640FD"/>
    <w:rsid w:val="007646FD"/>
    <w:rsid w:val="00765038"/>
    <w:rsid w:val="007667D4"/>
    <w:rsid w:val="00774410"/>
    <w:rsid w:val="00774F76"/>
    <w:rsid w:val="007756F8"/>
    <w:rsid w:val="00775DE0"/>
    <w:rsid w:val="007773A6"/>
    <w:rsid w:val="0077783F"/>
    <w:rsid w:val="0078019B"/>
    <w:rsid w:val="00782469"/>
    <w:rsid w:val="00792F98"/>
    <w:rsid w:val="00797730"/>
    <w:rsid w:val="00797DA9"/>
    <w:rsid w:val="007A02E8"/>
    <w:rsid w:val="007A29F6"/>
    <w:rsid w:val="007B0353"/>
    <w:rsid w:val="007C5079"/>
    <w:rsid w:val="007D0585"/>
    <w:rsid w:val="007D05AF"/>
    <w:rsid w:val="007D2FCB"/>
    <w:rsid w:val="007D4994"/>
    <w:rsid w:val="007D78F8"/>
    <w:rsid w:val="007E3A2C"/>
    <w:rsid w:val="007E4009"/>
    <w:rsid w:val="007E45D9"/>
    <w:rsid w:val="007F3A4E"/>
    <w:rsid w:val="00800C7B"/>
    <w:rsid w:val="00803589"/>
    <w:rsid w:val="008134F5"/>
    <w:rsid w:val="00816AD8"/>
    <w:rsid w:val="00820653"/>
    <w:rsid w:val="00822246"/>
    <w:rsid w:val="0082506C"/>
    <w:rsid w:val="00827C55"/>
    <w:rsid w:val="0084676E"/>
    <w:rsid w:val="0086206A"/>
    <w:rsid w:val="00865D5D"/>
    <w:rsid w:val="00870176"/>
    <w:rsid w:val="00871859"/>
    <w:rsid w:val="00873A54"/>
    <w:rsid w:val="008743EE"/>
    <w:rsid w:val="00880FD2"/>
    <w:rsid w:val="00884C69"/>
    <w:rsid w:val="00884D85"/>
    <w:rsid w:val="00892572"/>
    <w:rsid w:val="00896A6B"/>
    <w:rsid w:val="008A253A"/>
    <w:rsid w:val="008A57D9"/>
    <w:rsid w:val="008B17D0"/>
    <w:rsid w:val="008B60B3"/>
    <w:rsid w:val="008E1290"/>
    <w:rsid w:val="008E142D"/>
    <w:rsid w:val="008F0B10"/>
    <w:rsid w:val="008F5DB9"/>
    <w:rsid w:val="00902D0E"/>
    <w:rsid w:val="00920C75"/>
    <w:rsid w:val="00922255"/>
    <w:rsid w:val="00924613"/>
    <w:rsid w:val="00931AD8"/>
    <w:rsid w:val="00933C11"/>
    <w:rsid w:val="00934886"/>
    <w:rsid w:val="009352AE"/>
    <w:rsid w:val="009355EC"/>
    <w:rsid w:val="00940136"/>
    <w:rsid w:val="009428B3"/>
    <w:rsid w:val="00943D3A"/>
    <w:rsid w:val="009450EB"/>
    <w:rsid w:val="0094730D"/>
    <w:rsid w:val="009479A2"/>
    <w:rsid w:val="009553AA"/>
    <w:rsid w:val="00955E8F"/>
    <w:rsid w:val="00967E26"/>
    <w:rsid w:val="009719FB"/>
    <w:rsid w:val="00981F3D"/>
    <w:rsid w:val="0099283F"/>
    <w:rsid w:val="00993F9A"/>
    <w:rsid w:val="009962C6"/>
    <w:rsid w:val="009A01F5"/>
    <w:rsid w:val="009B1F4F"/>
    <w:rsid w:val="009B4B82"/>
    <w:rsid w:val="009B4DCB"/>
    <w:rsid w:val="009C488E"/>
    <w:rsid w:val="009C49F8"/>
    <w:rsid w:val="009C7C23"/>
    <w:rsid w:val="009D56B6"/>
    <w:rsid w:val="009E3C4D"/>
    <w:rsid w:val="009E70E7"/>
    <w:rsid w:val="009F02AF"/>
    <w:rsid w:val="009F40FC"/>
    <w:rsid w:val="009F5DAD"/>
    <w:rsid w:val="00A102C7"/>
    <w:rsid w:val="00A104B1"/>
    <w:rsid w:val="00A134B7"/>
    <w:rsid w:val="00A15D0A"/>
    <w:rsid w:val="00A24226"/>
    <w:rsid w:val="00A26B9A"/>
    <w:rsid w:val="00A32E96"/>
    <w:rsid w:val="00A3721B"/>
    <w:rsid w:val="00A4164C"/>
    <w:rsid w:val="00A448A3"/>
    <w:rsid w:val="00A46FC3"/>
    <w:rsid w:val="00A54852"/>
    <w:rsid w:val="00A62841"/>
    <w:rsid w:val="00A74ADF"/>
    <w:rsid w:val="00A75847"/>
    <w:rsid w:val="00A81049"/>
    <w:rsid w:val="00A814C6"/>
    <w:rsid w:val="00A817C6"/>
    <w:rsid w:val="00A822CF"/>
    <w:rsid w:val="00A84656"/>
    <w:rsid w:val="00A86532"/>
    <w:rsid w:val="00A944FA"/>
    <w:rsid w:val="00A96AF8"/>
    <w:rsid w:val="00AA0FFC"/>
    <w:rsid w:val="00AA4A94"/>
    <w:rsid w:val="00AA4AE2"/>
    <w:rsid w:val="00AB3D6F"/>
    <w:rsid w:val="00AB52B6"/>
    <w:rsid w:val="00AB6C92"/>
    <w:rsid w:val="00AC20C3"/>
    <w:rsid w:val="00AC2D3D"/>
    <w:rsid w:val="00AD013F"/>
    <w:rsid w:val="00AD7BE3"/>
    <w:rsid w:val="00AE38C4"/>
    <w:rsid w:val="00AE505B"/>
    <w:rsid w:val="00AE65ED"/>
    <w:rsid w:val="00B00D19"/>
    <w:rsid w:val="00B01D0B"/>
    <w:rsid w:val="00B02DCC"/>
    <w:rsid w:val="00B036AA"/>
    <w:rsid w:val="00B04560"/>
    <w:rsid w:val="00B07094"/>
    <w:rsid w:val="00B07E81"/>
    <w:rsid w:val="00B1082A"/>
    <w:rsid w:val="00B23BE3"/>
    <w:rsid w:val="00B23CD4"/>
    <w:rsid w:val="00B26708"/>
    <w:rsid w:val="00B3170B"/>
    <w:rsid w:val="00B45668"/>
    <w:rsid w:val="00B512C9"/>
    <w:rsid w:val="00B608AA"/>
    <w:rsid w:val="00B61ECA"/>
    <w:rsid w:val="00B630C2"/>
    <w:rsid w:val="00B93CB9"/>
    <w:rsid w:val="00B94325"/>
    <w:rsid w:val="00BA059C"/>
    <w:rsid w:val="00BA0F7F"/>
    <w:rsid w:val="00BA52BE"/>
    <w:rsid w:val="00BA6EC9"/>
    <w:rsid w:val="00BA7E00"/>
    <w:rsid w:val="00BB7711"/>
    <w:rsid w:val="00BC06BE"/>
    <w:rsid w:val="00BC7C76"/>
    <w:rsid w:val="00BD3E79"/>
    <w:rsid w:val="00BE3F23"/>
    <w:rsid w:val="00BE5F2E"/>
    <w:rsid w:val="00BE6822"/>
    <w:rsid w:val="00BF61D4"/>
    <w:rsid w:val="00BF7CA0"/>
    <w:rsid w:val="00C00459"/>
    <w:rsid w:val="00C01BE8"/>
    <w:rsid w:val="00C03F3B"/>
    <w:rsid w:val="00C15684"/>
    <w:rsid w:val="00C17930"/>
    <w:rsid w:val="00C23D63"/>
    <w:rsid w:val="00C31106"/>
    <w:rsid w:val="00C35795"/>
    <w:rsid w:val="00C3760C"/>
    <w:rsid w:val="00C4253A"/>
    <w:rsid w:val="00C43F08"/>
    <w:rsid w:val="00C54925"/>
    <w:rsid w:val="00C57273"/>
    <w:rsid w:val="00C6025D"/>
    <w:rsid w:val="00C60F28"/>
    <w:rsid w:val="00C61A03"/>
    <w:rsid w:val="00C6798F"/>
    <w:rsid w:val="00C7366F"/>
    <w:rsid w:val="00C73B75"/>
    <w:rsid w:val="00C73FB9"/>
    <w:rsid w:val="00C85D6D"/>
    <w:rsid w:val="00C87EC0"/>
    <w:rsid w:val="00C967DB"/>
    <w:rsid w:val="00CA02A2"/>
    <w:rsid w:val="00CA0B84"/>
    <w:rsid w:val="00CA29C4"/>
    <w:rsid w:val="00CA4C22"/>
    <w:rsid w:val="00CA659B"/>
    <w:rsid w:val="00CA7948"/>
    <w:rsid w:val="00CB0C91"/>
    <w:rsid w:val="00CB207F"/>
    <w:rsid w:val="00CC0D61"/>
    <w:rsid w:val="00CC19CF"/>
    <w:rsid w:val="00CC4AB4"/>
    <w:rsid w:val="00CD09FC"/>
    <w:rsid w:val="00CD34ED"/>
    <w:rsid w:val="00CD3E0A"/>
    <w:rsid w:val="00CD45B9"/>
    <w:rsid w:val="00CD65C0"/>
    <w:rsid w:val="00CE21CC"/>
    <w:rsid w:val="00CF5566"/>
    <w:rsid w:val="00D04825"/>
    <w:rsid w:val="00D10698"/>
    <w:rsid w:val="00D10F58"/>
    <w:rsid w:val="00D12688"/>
    <w:rsid w:val="00D22241"/>
    <w:rsid w:val="00D223D1"/>
    <w:rsid w:val="00D22876"/>
    <w:rsid w:val="00D25FA9"/>
    <w:rsid w:val="00D30848"/>
    <w:rsid w:val="00D31498"/>
    <w:rsid w:val="00D35A98"/>
    <w:rsid w:val="00D3600F"/>
    <w:rsid w:val="00D44886"/>
    <w:rsid w:val="00D51597"/>
    <w:rsid w:val="00D515B3"/>
    <w:rsid w:val="00D51E56"/>
    <w:rsid w:val="00D53E0B"/>
    <w:rsid w:val="00D5468A"/>
    <w:rsid w:val="00D565CF"/>
    <w:rsid w:val="00D61D2C"/>
    <w:rsid w:val="00D668B3"/>
    <w:rsid w:val="00D750EE"/>
    <w:rsid w:val="00D76EB5"/>
    <w:rsid w:val="00D90B03"/>
    <w:rsid w:val="00D90D91"/>
    <w:rsid w:val="00D913DC"/>
    <w:rsid w:val="00D96508"/>
    <w:rsid w:val="00DA58BC"/>
    <w:rsid w:val="00DA5ACE"/>
    <w:rsid w:val="00DA646B"/>
    <w:rsid w:val="00DB1FD5"/>
    <w:rsid w:val="00DB2874"/>
    <w:rsid w:val="00DB5C4D"/>
    <w:rsid w:val="00DB6A80"/>
    <w:rsid w:val="00DC0F70"/>
    <w:rsid w:val="00DC2D6F"/>
    <w:rsid w:val="00DD01C5"/>
    <w:rsid w:val="00DD1ED6"/>
    <w:rsid w:val="00DD2DE5"/>
    <w:rsid w:val="00DD52A2"/>
    <w:rsid w:val="00DD6558"/>
    <w:rsid w:val="00DD7D2A"/>
    <w:rsid w:val="00DE6492"/>
    <w:rsid w:val="00DF0AE9"/>
    <w:rsid w:val="00DF45D0"/>
    <w:rsid w:val="00DF7BB5"/>
    <w:rsid w:val="00E04581"/>
    <w:rsid w:val="00E05C3B"/>
    <w:rsid w:val="00E07460"/>
    <w:rsid w:val="00E10D11"/>
    <w:rsid w:val="00E175EA"/>
    <w:rsid w:val="00E17D49"/>
    <w:rsid w:val="00E21C39"/>
    <w:rsid w:val="00E26A5E"/>
    <w:rsid w:val="00E275A5"/>
    <w:rsid w:val="00E27B0E"/>
    <w:rsid w:val="00E317A7"/>
    <w:rsid w:val="00E33096"/>
    <w:rsid w:val="00E34CC2"/>
    <w:rsid w:val="00E445FB"/>
    <w:rsid w:val="00E44E56"/>
    <w:rsid w:val="00E50180"/>
    <w:rsid w:val="00E50557"/>
    <w:rsid w:val="00E5719F"/>
    <w:rsid w:val="00E62187"/>
    <w:rsid w:val="00E63C43"/>
    <w:rsid w:val="00E750B0"/>
    <w:rsid w:val="00E804E7"/>
    <w:rsid w:val="00E849CC"/>
    <w:rsid w:val="00E86C4C"/>
    <w:rsid w:val="00E874A6"/>
    <w:rsid w:val="00E95D64"/>
    <w:rsid w:val="00EA0F96"/>
    <w:rsid w:val="00EA4133"/>
    <w:rsid w:val="00EB223C"/>
    <w:rsid w:val="00EB306E"/>
    <w:rsid w:val="00EC42B7"/>
    <w:rsid w:val="00EC5864"/>
    <w:rsid w:val="00EC64E1"/>
    <w:rsid w:val="00EC661F"/>
    <w:rsid w:val="00ED10A1"/>
    <w:rsid w:val="00ED29F1"/>
    <w:rsid w:val="00ED413F"/>
    <w:rsid w:val="00EE6517"/>
    <w:rsid w:val="00EE6B5D"/>
    <w:rsid w:val="00EF1B1A"/>
    <w:rsid w:val="00EF5077"/>
    <w:rsid w:val="00F00518"/>
    <w:rsid w:val="00F0190F"/>
    <w:rsid w:val="00F160F1"/>
    <w:rsid w:val="00F20794"/>
    <w:rsid w:val="00F22DE3"/>
    <w:rsid w:val="00F23455"/>
    <w:rsid w:val="00F279E4"/>
    <w:rsid w:val="00F33D76"/>
    <w:rsid w:val="00F41036"/>
    <w:rsid w:val="00F463C8"/>
    <w:rsid w:val="00F506DF"/>
    <w:rsid w:val="00F53EF6"/>
    <w:rsid w:val="00F5526B"/>
    <w:rsid w:val="00F57D5F"/>
    <w:rsid w:val="00F60E0B"/>
    <w:rsid w:val="00F63575"/>
    <w:rsid w:val="00F65F97"/>
    <w:rsid w:val="00F67500"/>
    <w:rsid w:val="00F75CC7"/>
    <w:rsid w:val="00F76F45"/>
    <w:rsid w:val="00F94886"/>
    <w:rsid w:val="00FA2643"/>
    <w:rsid w:val="00FA3C49"/>
    <w:rsid w:val="00FA576B"/>
    <w:rsid w:val="00FA788B"/>
    <w:rsid w:val="00FB2484"/>
    <w:rsid w:val="00FB3C62"/>
    <w:rsid w:val="00FC133B"/>
    <w:rsid w:val="00FC3289"/>
    <w:rsid w:val="00FC7775"/>
    <w:rsid w:val="00FD0EC7"/>
    <w:rsid w:val="00FD0EEE"/>
    <w:rsid w:val="00FD16AD"/>
    <w:rsid w:val="00FD2D97"/>
    <w:rsid w:val="00FD3EC7"/>
    <w:rsid w:val="00FD5712"/>
    <w:rsid w:val="00FD6AEB"/>
    <w:rsid w:val="00FE20BA"/>
    <w:rsid w:val="00FE3160"/>
    <w:rsid w:val="00FE58B1"/>
    <w:rsid w:val="00FE5EAF"/>
    <w:rsid w:val="00FE5F45"/>
    <w:rsid w:val="00FF2ED1"/>
    <w:rsid w:val="00FF5148"/>
    <w:rsid w:val="00FF53E4"/>
    <w:rsid w:val="00FF5D2D"/>
    <w:rsid w:val="00FF6B39"/>
    <w:rsid w:val="01AE0C4B"/>
    <w:rsid w:val="04511DA3"/>
    <w:rsid w:val="04623EDA"/>
    <w:rsid w:val="04947010"/>
    <w:rsid w:val="0B2C0383"/>
    <w:rsid w:val="0EF35F78"/>
    <w:rsid w:val="0F2C78BC"/>
    <w:rsid w:val="13BE4EF9"/>
    <w:rsid w:val="1B2427A6"/>
    <w:rsid w:val="1E80370A"/>
    <w:rsid w:val="1ED64393"/>
    <w:rsid w:val="23CF67EB"/>
    <w:rsid w:val="26E07188"/>
    <w:rsid w:val="29B617F8"/>
    <w:rsid w:val="2C5C7DE1"/>
    <w:rsid w:val="31D06B5D"/>
    <w:rsid w:val="33A23233"/>
    <w:rsid w:val="343352A6"/>
    <w:rsid w:val="34D22C05"/>
    <w:rsid w:val="35E77348"/>
    <w:rsid w:val="37D437F4"/>
    <w:rsid w:val="3F0A4242"/>
    <w:rsid w:val="3FFD347C"/>
    <w:rsid w:val="40D15709"/>
    <w:rsid w:val="414B7892"/>
    <w:rsid w:val="42C95184"/>
    <w:rsid w:val="42F05F62"/>
    <w:rsid w:val="43EA56CF"/>
    <w:rsid w:val="45E0455E"/>
    <w:rsid w:val="49B02820"/>
    <w:rsid w:val="4DFE06B5"/>
    <w:rsid w:val="50171392"/>
    <w:rsid w:val="5577692C"/>
    <w:rsid w:val="57016689"/>
    <w:rsid w:val="5A3D66D3"/>
    <w:rsid w:val="5C7D5F7C"/>
    <w:rsid w:val="63D2517C"/>
    <w:rsid w:val="66C52EA4"/>
    <w:rsid w:val="68AF106C"/>
    <w:rsid w:val="6AB803CF"/>
    <w:rsid w:val="6AE30BC5"/>
    <w:rsid w:val="6B545987"/>
    <w:rsid w:val="6C7D6161"/>
    <w:rsid w:val="6EE16B3E"/>
    <w:rsid w:val="74EF1777"/>
    <w:rsid w:val="75DA4520"/>
    <w:rsid w:val="77353AF2"/>
    <w:rsid w:val="7CE735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9"/>
    <w:pPr>
      <w:ind w:right="139"/>
      <w:jc w:val="center"/>
      <w:outlineLvl w:val="0"/>
    </w:pPr>
    <w:rPr>
      <w:rFonts w:ascii="Microsoft JhengHei" w:hAnsi="Microsoft JhengHei" w:eastAsia="Microsoft JhengHei" w:cs="Microsoft JhengHei"/>
      <w:b/>
      <w:bCs/>
      <w:sz w:val="36"/>
      <w:szCs w:val="36"/>
    </w:rPr>
  </w:style>
  <w:style w:type="paragraph" w:styleId="3">
    <w:name w:val="heading 2"/>
    <w:basedOn w:val="1"/>
    <w:next w:val="1"/>
    <w:unhideWhenUsed/>
    <w:qFormat/>
    <w:uiPriority w:val="9"/>
    <w:pPr>
      <w:spacing w:before="25"/>
      <w:jc w:val="center"/>
      <w:outlineLvl w:val="1"/>
    </w:pPr>
    <w:rPr>
      <w:sz w:val="36"/>
      <w:szCs w:val="36"/>
    </w:rPr>
  </w:style>
  <w:style w:type="paragraph" w:styleId="4">
    <w:name w:val="heading 3"/>
    <w:basedOn w:val="1"/>
    <w:next w:val="1"/>
    <w:unhideWhenUsed/>
    <w:qFormat/>
    <w:uiPriority w:val="9"/>
    <w:pPr>
      <w:spacing w:line="543" w:lineRule="exact"/>
      <w:ind w:left="230"/>
      <w:outlineLvl w:val="2"/>
    </w:pPr>
    <w:rPr>
      <w:rFonts w:ascii="Microsoft JhengHei" w:hAnsi="Microsoft JhengHei" w:eastAsia="Microsoft JhengHei" w:cs="Microsoft JhengHei"/>
      <w:b/>
      <w:bCs/>
      <w:sz w:val="33"/>
      <w:szCs w:val="33"/>
    </w:rPr>
  </w:style>
  <w:style w:type="paragraph" w:styleId="5">
    <w:name w:val="heading 4"/>
    <w:basedOn w:val="1"/>
    <w:next w:val="1"/>
    <w:unhideWhenUsed/>
    <w:qFormat/>
    <w:uiPriority w:val="9"/>
    <w:pPr>
      <w:spacing w:line="449" w:lineRule="exact"/>
      <w:ind w:left="2835" w:right="3314"/>
      <w:jc w:val="center"/>
      <w:outlineLvl w:val="3"/>
    </w:pPr>
    <w:rPr>
      <w:rFonts w:ascii="Microsoft JhengHei" w:hAnsi="Microsoft JhengHei" w:eastAsia="Microsoft JhengHei" w:cs="Microsoft JhengHei"/>
      <w:b/>
      <w:bCs/>
      <w:sz w:val="32"/>
      <w:szCs w:val="32"/>
    </w:rPr>
  </w:style>
  <w:style w:type="paragraph" w:styleId="6">
    <w:name w:val="heading 5"/>
    <w:basedOn w:val="1"/>
    <w:next w:val="1"/>
    <w:unhideWhenUsed/>
    <w:qFormat/>
    <w:uiPriority w:val="9"/>
    <w:pPr>
      <w:spacing w:line="483" w:lineRule="exact"/>
      <w:ind w:left="600"/>
      <w:outlineLvl w:val="4"/>
    </w:pPr>
    <w:rPr>
      <w:rFonts w:ascii="Microsoft JhengHei" w:hAnsi="Microsoft JhengHei" w:eastAsia="Microsoft JhengHei" w:cs="Microsoft JhengHei"/>
      <w:b/>
      <w:bCs/>
      <w:sz w:val="28"/>
      <w:szCs w:val="28"/>
      <w:u w:val="single" w:color="000000"/>
    </w:rPr>
  </w:style>
  <w:style w:type="paragraph" w:styleId="7">
    <w:name w:val="heading 6"/>
    <w:basedOn w:val="1"/>
    <w:next w:val="1"/>
    <w:unhideWhenUsed/>
    <w:qFormat/>
    <w:uiPriority w:val="9"/>
    <w:pPr>
      <w:ind w:left="103"/>
      <w:outlineLvl w:val="5"/>
    </w:pPr>
    <w:rPr>
      <w:sz w:val="28"/>
      <w:szCs w:val="28"/>
    </w:rPr>
  </w:style>
  <w:style w:type="paragraph" w:styleId="8">
    <w:name w:val="heading 7"/>
    <w:basedOn w:val="1"/>
    <w:next w:val="1"/>
    <w:qFormat/>
    <w:uiPriority w:val="1"/>
    <w:pPr>
      <w:ind w:left="103" w:firstLine="480"/>
      <w:outlineLvl w:val="6"/>
    </w:pPr>
    <w:rPr>
      <w:rFonts w:ascii="Microsoft JhengHei" w:hAnsi="Microsoft JhengHei" w:eastAsia="Microsoft JhengHei" w:cs="Microsoft JhengHei"/>
      <w:b/>
      <w:bCs/>
      <w:sz w:val="26"/>
      <w:szCs w:val="26"/>
      <w:u w:val="single" w:color="000000"/>
    </w:rPr>
  </w:style>
  <w:style w:type="paragraph" w:styleId="9">
    <w:name w:val="heading 8"/>
    <w:basedOn w:val="1"/>
    <w:next w:val="1"/>
    <w:qFormat/>
    <w:uiPriority w:val="1"/>
    <w:pPr>
      <w:spacing w:before="113"/>
      <w:ind w:left="230" w:right="2714"/>
      <w:jc w:val="center"/>
      <w:outlineLvl w:val="7"/>
    </w:pPr>
    <w:rPr>
      <w:sz w:val="25"/>
      <w:szCs w:val="25"/>
    </w:rPr>
  </w:style>
  <w:style w:type="paragraph" w:styleId="10">
    <w:name w:val="heading 9"/>
    <w:basedOn w:val="1"/>
    <w:next w:val="1"/>
    <w:qFormat/>
    <w:uiPriority w:val="1"/>
    <w:pPr>
      <w:ind w:left="639"/>
      <w:outlineLvl w:val="8"/>
    </w:pPr>
    <w:rPr>
      <w:rFonts w:ascii="Microsoft JhengHei" w:hAnsi="Microsoft JhengHei" w:eastAsia="Microsoft JhengHei" w:cs="Microsoft JhengHei"/>
      <w:b/>
      <w:bCs/>
      <w:sz w:val="24"/>
      <w:szCs w:val="24"/>
      <w:u w:val="single" w:color="000000"/>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link w:val="32"/>
    <w:qFormat/>
    <w:uiPriority w:val="0"/>
    <w:pPr>
      <w:autoSpaceDE/>
      <w:autoSpaceDN/>
      <w:spacing w:line="600" w:lineRule="exact"/>
      <w:ind w:firstLine="420"/>
      <w:jc w:val="both"/>
    </w:pPr>
    <w:rPr>
      <w:rFonts w:asciiTheme="minorHAnsi" w:hAnsiTheme="minorHAnsi" w:cstheme="minorBidi"/>
      <w:kern w:val="2"/>
      <w:sz w:val="28"/>
      <w:lang w:val="en-US" w:bidi="ar-SA"/>
    </w:rPr>
  </w:style>
  <w:style w:type="paragraph" w:styleId="12">
    <w:name w:val="annotation text"/>
    <w:basedOn w:val="1"/>
    <w:link w:val="37"/>
    <w:semiHidden/>
    <w:unhideWhenUsed/>
    <w:qFormat/>
    <w:uiPriority w:val="99"/>
  </w:style>
  <w:style w:type="paragraph" w:styleId="13">
    <w:name w:val="Body Text"/>
    <w:basedOn w:val="1"/>
    <w:qFormat/>
    <w:uiPriority w:val="1"/>
    <w:rPr>
      <w:sz w:val="24"/>
      <w:szCs w:val="24"/>
    </w:rPr>
  </w:style>
  <w:style w:type="paragraph" w:styleId="14">
    <w:name w:val="Plain Text"/>
    <w:basedOn w:val="1"/>
    <w:link w:val="33"/>
    <w:qFormat/>
    <w:uiPriority w:val="0"/>
    <w:pPr>
      <w:autoSpaceDE/>
      <w:autoSpaceDN/>
      <w:spacing w:line="600" w:lineRule="exact"/>
      <w:jc w:val="both"/>
    </w:pPr>
    <w:rPr>
      <w:rFonts w:hAnsi="Courier New" w:cs="Courier New"/>
      <w:kern w:val="2"/>
      <w:sz w:val="28"/>
      <w:szCs w:val="21"/>
      <w:lang w:val="en-US" w:bidi="ar-SA"/>
    </w:rPr>
  </w:style>
  <w:style w:type="paragraph" w:styleId="15">
    <w:name w:val="Balloon Text"/>
    <w:basedOn w:val="1"/>
    <w:link w:val="35"/>
    <w:semiHidden/>
    <w:unhideWhenUsed/>
    <w:qFormat/>
    <w:uiPriority w:val="99"/>
    <w:rPr>
      <w:sz w:val="18"/>
      <w:szCs w:val="18"/>
    </w:rPr>
  </w:style>
  <w:style w:type="paragraph" w:styleId="16">
    <w:name w:val="footer"/>
    <w:basedOn w:val="1"/>
    <w:link w:val="31"/>
    <w:unhideWhenUsed/>
    <w:qFormat/>
    <w:uiPriority w:val="99"/>
    <w:pPr>
      <w:tabs>
        <w:tab w:val="center" w:pos="4153"/>
        <w:tab w:val="right" w:pos="8306"/>
      </w:tabs>
      <w:snapToGrid w:val="0"/>
    </w:pPr>
    <w:rPr>
      <w:sz w:val="18"/>
      <w:szCs w:val="18"/>
    </w:rPr>
  </w:style>
  <w:style w:type="paragraph" w:styleId="17">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Normal (Web)"/>
    <w:basedOn w:val="1"/>
    <w:qFormat/>
    <w:uiPriority w:val="0"/>
    <w:pPr>
      <w:widowControl/>
      <w:autoSpaceDE/>
      <w:autoSpaceDN/>
      <w:spacing w:before="100" w:beforeAutospacing="1" w:after="100" w:afterAutospacing="1"/>
    </w:pPr>
    <w:rPr>
      <w:sz w:val="24"/>
      <w:szCs w:val="24"/>
      <w:lang w:val="en-US" w:bidi="ar-SA"/>
    </w:rPr>
  </w:style>
  <w:style w:type="paragraph" w:styleId="19">
    <w:name w:val="annotation subject"/>
    <w:basedOn w:val="12"/>
    <w:next w:val="12"/>
    <w:link w:val="38"/>
    <w:semiHidden/>
    <w:unhideWhenUsed/>
    <w:qFormat/>
    <w:uiPriority w:val="99"/>
    <w:rPr>
      <w:b/>
      <w:bCs/>
    </w:rPr>
  </w:style>
  <w:style w:type="table" w:styleId="21">
    <w:name w:val="Table Grid"/>
    <w:basedOn w:val="20"/>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3">
    <w:name w:val="page number"/>
    <w:basedOn w:val="22"/>
    <w:qFormat/>
    <w:uiPriority w:val="0"/>
  </w:style>
  <w:style w:type="character" w:styleId="24">
    <w:name w:val="Hyperlink"/>
    <w:basedOn w:val="22"/>
    <w:unhideWhenUsed/>
    <w:qFormat/>
    <w:uiPriority w:val="99"/>
    <w:rPr>
      <w:color w:val="0000FF" w:themeColor="hyperlink"/>
      <w:u w:val="single"/>
    </w:rPr>
  </w:style>
  <w:style w:type="character" w:styleId="25">
    <w:name w:val="annotation reference"/>
    <w:semiHidden/>
    <w:qFormat/>
    <w:uiPriority w:val="0"/>
    <w:rPr>
      <w:sz w:val="21"/>
      <w:szCs w:val="21"/>
    </w:rPr>
  </w:style>
  <w:style w:type="table" w:customStyle="1" w:styleId="26">
    <w:name w:val="Table Normal"/>
    <w:semiHidden/>
    <w:unhideWhenUsed/>
    <w:qFormat/>
    <w:uiPriority w:val="2"/>
    <w:tblPr>
      <w:tblCellMar>
        <w:top w:w="0" w:type="dxa"/>
        <w:left w:w="0" w:type="dxa"/>
        <w:bottom w:w="0" w:type="dxa"/>
        <w:right w:w="0" w:type="dxa"/>
      </w:tblCellMar>
    </w:tblPr>
  </w:style>
  <w:style w:type="paragraph" w:styleId="27">
    <w:name w:val="List Paragraph"/>
    <w:basedOn w:val="1"/>
    <w:qFormat/>
    <w:uiPriority w:val="1"/>
    <w:pPr>
      <w:ind w:left="103" w:hanging="362"/>
    </w:pPr>
  </w:style>
  <w:style w:type="paragraph" w:customStyle="1" w:styleId="28">
    <w:name w:val="Table Paragraph"/>
    <w:basedOn w:val="1"/>
    <w:qFormat/>
    <w:uiPriority w:val="1"/>
  </w:style>
  <w:style w:type="character" w:customStyle="1" w:styleId="29">
    <w:name w:val="未处理的提及1"/>
    <w:basedOn w:val="22"/>
    <w:semiHidden/>
    <w:unhideWhenUsed/>
    <w:qFormat/>
    <w:uiPriority w:val="99"/>
    <w:rPr>
      <w:color w:val="605E5C"/>
      <w:shd w:val="clear" w:color="auto" w:fill="E1DFDD"/>
    </w:rPr>
  </w:style>
  <w:style w:type="character" w:customStyle="1" w:styleId="30">
    <w:name w:val="页眉 Char"/>
    <w:basedOn w:val="22"/>
    <w:link w:val="17"/>
    <w:qFormat/>
    <w:uiPriority w:val="99"/>
    <w:rPr>
      <w:rFonts w:ascii="宋体" w:hAnsi="宋体" w:eastAsia="宋体" w:cs="宋体"/>
      <w:sz w:val="18"/>
      <w:szCs w:val="18"/>
      <w:lang w:val="zh-CN" w:eastAsia="zh-CN" w:bidi="zh-CN"/>
    </w:rPr>
  </w:style>
  <w:style w:type="character" w:customStyle="1" w:styleId="31">
    <w:name w:val="页脚 Char"/>
    <w:basedOn w:val="22"/>
    <w:link w:val="16"/>
    <w:qFormat/>
    <w:uiPriority w:val="99"/>
    <w:rPr>
      <w:rFonts w:ascii="宋体" w:hAnsi="宋体" w:eastAsia="宋体" w:cs="宋体"/>
      <w:sz w:val="18"/>
      <w:szCs w:val="18"/>
      <w:lang w:val="zh-CN" w:eastAsia="zh-CN" w:bidi="zh-CN"/>
    </w:rPr>
  </w:style>
  <w:style w:type="character" w:customStyle="1" w:styleId="32">
    <w:name w:val="正文缩进 Char"/>
    <w:link w:val="11"/>
    <w:qFormat/>
    <w:uiPriority w:val="0"/>
    <w:rPr>
      <w:rFonts w:eastAsia="宋体"/>
      <w:kern w:val="2"/>
      <w:sz w:val="28"/>
      <w:lang w:eastAsia="zh-CN"/>
    </w:rPr>
  </w:style>
  <w:style w:type="character" w:customStyle="1" w:styleId="33">
    <w:name w:val="纯文本 Char"/>
    <w:link w:val="14"/>
    <w:qFormat/>
    <w:uiPriority w:val="0"/>
    <w:rPr>
      <w:rFonts w:ascii="宋体" w:hAnsi="Courier New" w:eastAsia="宋体" w:cs="Courier New"/>
      <w:kern w:val="2"/>
      <w:sz w:val="28"/>
      <w:szCs w:val="21"/>
      <w:lang w:eastAsia="zh-CN"/>
    </w:rPr>
  </w:style>
  <w:style w:type="character" w:customStyle="1" w:styleId="34">
    <w:name w:val="纯文本 字符"/>
    <w:basedOn w:val="22"/>
    <w:semiHidden/>
    <w:qFormat/>
    <w:uiPriority w:val="99"/>
    <w:rPr>
      <w:rFonts w:hAnsi="Courier New" w:cs="Courier New" w:asciiTheme="minorEastAsia"/>
      <w:lang w:val="zh-CN" w:eastAsia="zh-CN" w:bidi="zh-CN"/>
    </w:rPr>
  </w:style>
  <w:style w:type="character" w:customStyle="1" w:styleId="35">
    <w:name w:val="批注框文本 Char"/>
    <w:basedOn w:val="22"/>
    <w:link w:val="15"/>
    <w:semiHidden/>
    <w:qFormat/>
    <w:uiPriority w:val="99"/>
    <w:rPr>
      <w:rFonts w:ascii="宋体" w:hAnsi="宋体" w:eastAsia="宋体" w:cs="宋体"/>
      <w:sz w:val="18"/>
      <w:szCs w:val="18"/>
      <w:lang w:val="zh-CN" w:eastAsia="zh-CN" w:bidi="zh-CN"/>
    </w:rPr>
  </w:style>
  <w:style w:type="paragraph" w:customStyle="1" w:styleId="36">
    <w:name w:val="格式３"/>
    <w:basedOn w:val="1"/>
    <w:qFormat/>
    <w:uiPriority w:val="0"/>
    <w:pPr>
      <w:autoSpaceDE/>
      <w:autoSpaceDN/>
      <w:spacing w:line="420" w:lineRule="exact"/>
      <w:ind w:left="600" w:hanging="600" w:hangingChars="250"/>
      <w:jc w:val="both"/>
    </w:pPr>
    <w:rPr>
      <w:rFonts w:cs="Times New Roman"/>
      <w:color w:val="000000"/>
      <w:kern w:val="2"/>
      <w:sz w:val="24"/>
      <w:szCs w:val="20"/>
      <w:lang w:val="en-US" w:bidi="ar-SA"/>
    </w:rPr>
  </w:style>
  <w:style w:type="character" w:customStyle="1" w:styleId="37">
    <w:name w:val="批注文字 Char"/>
    <w:basedOn w:val="22"/>
    <w:link w:val="12"/>
    <w:semiHidden/>
    <w:qFormat/>
    <w:uiPriority w:val="99"/>
    <w:rPr>
      <w:rFonts w:ascii="宋体" w:hAnsi="宋体" w:cs="宋体"/>
      <w:sz w:val="22"/>
      <w:szCs w:val="22"/>
      <w:lang w:val="zh-CN" w:bidi="zh-CN"/>
    </w:rPr>
  </w:style>
  <w:style w:type="character" w:customStyle="1" w:styleId="38">
    <w:name w:val="批注主题 Char"/>
    <w:basedOn w:val="37"/>
    <w:link w:val="19"/>
    <w:semiHidden/>
    <w:qFormat/>
    <w:uiPriority w:val="99"/>
    <w:rPr>
      <w:rFonts w:ascii="宋体" w:hAnsi="宋体" w:cs="宋体"/>
      <w:b/>
      <w:bCs/>
      <w:sz w:val="22"/>
      <w:szCs w:val="22"/>
      <w:lang w:val="zh-CN" w:bidi="zh-CN"/>
    </w:rPr>
  </w:style>
  <w:style w:type="paragraph" w:customStyle="1" w:styleId="39">
    <w:name w:val="样式 标题 2 + Times New Roman 四号 非加粗 段前: 5 磅 段后: 0 磅 行距: 固定值 20..."/>
    <w:basedOn w:val="3"/>
    <w:qFormat/>
    <w:uiPriority w:val="0"/>
    <w:pPr>
      <w:keepNext/>
      <w:keepLines/>
      <w:autoSpaceDE/>
      <w:autoSpaceDN/>
      <w:spacing w:before="100" w:line="400" w:lineRule="exact"/>
      <w:jc w:val="both"/>
    </w:pPr>
    <w:rPr>
      <w:rFonts w:ascii="Times New Roman" w:hAnsi="Times New Roman" w:eastAsia="黑体"/>
      <w:kern w:val="2"/>
      <w:sz w:val="28"/>
      <w:szCs w:val="20"/>
      <w:lang w:val="en-US" w:bidi="ar-SA"/>
    </w:rPr>
  </w:style>
  <w:style w:type="character" w:customStyle="1" w:styleId="40">
    <w:name w:val="未处理的提及2"/>
    <w:basedOn w:val="2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47D29E-CBFA-4083-A7DB-569F01595E9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4739</Words>
  <Characters>27013</Characters>
  <Lines>225</Lines>
  <Paragraphs>63</Paragraphs>
  <TotalTime>36</TotalTime>
  <ScaleCrop>false</ScaleCrop>
  <LinksUpToDate>false</LinksUpToDate>
  <CharactersWithSpaces>31689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2021-04-28T06:07:00Z</dcterms:created>
  <dc:creator>admin</dc:creator>
  <cp:lastModifiedBy>一世浮华</cp:lastModifiedBy>
  <dcterms:modified xsi:type="dcterms:W3CDTF">2021-09-18T00:16:34Z</dcterms:modified>
  <dc:title>newpdf</dc:title>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Creator">
    <vt:lpwstr>南京翔晟PDF操作COM组件</vt:lpwstr>
  </property>
  <property fmtid="{D5CDD505-2E9C-101B-9397-08002B2CF9AE}" pid="4" name="LastSaved">
    <vt:filetime>2020-11-11T00:00:00Z</vt:filetime>
  </property>
  <property fmtid="{D5CDD505-2E9C-101B-9397-08002B2CF9AE}" pid="5" name="KSOProductBuildVer">
    <vt:lpwstr>2052-11.1.0.10700</vt:lpwstr>
  </property>
  <property fmtid="{D5CDD505-2E9C-101B-9397-08002B2CF9AE}" pid="6" name="ICV">
    <vt:lpwstr>483F8A5338B9407684F172C0C6A64A5C</vt:lpwstr>
  </property>
</Properties>
</file>