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bCs/>
          <w:sz w:val="44"/>
          <w:szCs w:val="44"/>
        </w:rPr>
      </w:pPr>
    </w:p>
    <w:p>
      <w:pPr>
        <w:jc w:val="center"/>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南通港码头管理有限公司</w:t>
      </w:r>
    </w:p>
    <w:p>
      <w:pPr>
        <w:spacing w:line="360" w:lineRule="auto"/>
        <w:jc w:val="center"/>
        <w:rPr>
          <w:rFonts w:asciiTheme="majorEastAsia" w:hAnsiTheme="majorEastAsia" w:eastAsiaTheme="majorEastAsia" w:cstheme="majorEastAsia"/>
          <w:sz w:val="84"/>
        </w:rPr>
      </w:pPr>
      <w:r>
        <w:rPr>
          <w:rFonts w:hint="eastAsia" w:asciiTheme="majorEastAsia" w:hAnsiTheme="majorEastAsia" w:eastAsiaTheme="majorEastAsia" w:cstheme="majorEastAsia"/>
          <w:b/>
          <w:sz w:val="52"/>
          <w:szCs w:val="52"/>
        </w:rPr>
        <w:t>高空作业平台（直臂式登高车）采购</w:t>
      </w:r>
    </w:p>
    <w:p>
      <w:pPr>
        <w:jc w:val="center"/>
        <w:rPr>
          <w:rFonts w:asciiTheme="majorEastAsia" w:hAnsiTheme="majorEastAsia" w:eastAsiaTheme="majorEastAsia"/>
          <w:sz w:val="52"/>
          <w:szCs w:val="52"/>
        </w:rPr>
      </w:pPr>
    </w:p>
    <w:p>
      <w:pPr>
        <w:jc w:val="center"/>
        <w:rPr>
          <w:rFonts w:asciiTheme="majorEastAsia" w:hAnsiTheme="majorEastAsia" w:eastAsiaTheme="majorEastAsia"/>
          <w:b/>
          <w:bCs/>
          <w:sz w:val="52"/>
          <w:szCs w:val="52"/>
        </w:rPr>
      </w:pPr>
      <w:r>
        <w:rPr>
          <w:rFonts w:hint="eastAsia" w:asciiTheme="majorEastAsia" w:hAnsiTheme="majorEastAsia" w:eastAsiaTheme="majorEastAsia"/>
          <w:b/>
          <w:bCs/>
          <w:sz w:val="52"/>
          <w:szCs w:val="52"/>
        </w:rPr>
        <w:t>招标文件</w:t>
      </w: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rPr>
          <w:rFonts w:asciiTheme="majorEastAsia" w:hAnsiTheme="majorEastAsia" w:eastAsiaTheme="majorEastAsia"/>
          <w:sz w:val="32"/>
        </w:rPr>
      </w:pPr>
    </w:p>
    <w:p>
      <w:pPr>
        <w:spacing w:line="720" w:lineRule="auto"/>
        <w:ind w:firstLine="1600" w:firstLineChars="500"/>
        <w:outlineLvl w:val="0"/>
      </w:pPr>
      <w:r>
        <w:rPr>
          <w:rFonts w:hint="eastAsia" w:asciiTheme="majorEastAsia" w:hAnsiTheme="majorEastAsia" w:eastAsiaTheme="majorEastAsia"/>
          <w:sz w:val="32"/>
          <w:szCs w:val="32"/>
        </w:rPr>
        <w:t>采 购 人：南通港码头管理有限公司</w:t>
      </w:r>
    </w:p>
    <w:p>
      <w:pPr>
        <w:spacing w:line="720" w:lineRule="auto"/>
        <w:ind w:firstLine="1600" w:firstLineChars="500"/>
        <w:outlineLvl w:val="0"/>
      </w:pPr>
      <w:r>
        <w:rPr>
          <w:rFonts w:hint="eastAsia" w:asciiTheme="majorEastAsia" w:hAnsiTheme="majorEastAsia" w:eastAsiaTheme="majorEastAsia"/>
          <w:sz w:val="32"/>
          <w:szCs w:val="32"/>
        </w:rPr>
        <w:t>代理机构：江苏天信建设项目咨询有限公司</w:t>
      </w:r>
    </w:p>
    <w:p>
      <w:pPr>
        <w:spacing w:line="720" w:lineRule="auto"/>
        <w:jc w:val="center"/>
        <w:rPr>
          <w:rFonts w:asciiTheme="majorEastAsia" w:hAnsiTheme="majorEastAsia" w:eastAsiaTheme="majorEastAsia"/>
          <w:highlight w:val="yellow"/>
        </w:rPr>
        <w:sectPr>
          <w:headerReference r:id="rId3" w:type="default"/>
          <w:headerReference r:id="rId4" w:type="even"/>
          <w:footerReference r:id="rId5" w:type="even"/>
          <w:pgSz w:w="11906" w:h="16838"/>
          <w:pgMar w:top="1418" w:right="1588" w:bottom="1418" w:left="1365" w:header="851" w:footer="907" w:gutter="0"/>
          <w:pgNumType w:start="1"/>
          <w:cols w:space="720" w:num="1"/>
          <w:titlePg/>
          <w:docGrid w:type="lines" w:linePitch="290" w:charSpace="0"/>
        </w:sectPr>
      </w:pPr>
      <w:r>
        <w:rPr>
          <w:rFonts w:hint="eastAsia" w:asciiTheme="majorEastAsia" w:hAnsiTheme="majorEastAsia" w:eastAsiaTheme="majorEastAsia"/>
          <w:sz w:val="32"/>
          <w:szCs w:val="32"/>
          <w:highlight w:val="yellow"/>
        </w:rPr>
        <w:t>2021年8月2</w:t>
      </w:r>
      <w:r>
        <w:rPr>
          <w:rFonts w:hint="eastAsia" w:asciiTheme="majorEastAsia" w:hAnsiTheme="majorEastAsia" w:eastAsiaTheme="majorEastAsia"/>
          <w:sz w:val="32"/>
          <w:szCs w:val="32"/>
          <w:highlight w:val="yellow"/>
          <w:lang w:val="en-US" w:eastAsia="zh-CN"/>
        </w:rPr>
        <w:t>7</w:t>
      </w:r>
      <w:r>
        <w:rPr>
          <w:rFonts w:hint="eastAsia" w:asciiTheme="majorEastAsia" w:hAnsiTheme="majorEastAsia" w:eastAsiaTheme="majorEastAsia"/>
          <w:sz w:val="32"/>
          <w:szCs w:val="32"/>
          <w:highlight w:val="yellow"/>
        </w:rPr>
        <w:t xml:space="preserve"> 日</w:t>
      </w:r>
      <w:r>
        <w:rPr>
          <w:rFonts w:asciiTheme="majorEastAsia" w:hAnsiTheme="majorEastAsia" w:eastAsiaTheme="majorEastAsia"/>
          <w:highlight w:val="yellow"/>
        </w:rPr>
        <w:pict>
          <v:rect id="_x0000_s1026" o:spid="_x0000_s1026" o:spt="1" style="position:absolute;left:0pt;margin-left:185.3pt;margin-top:97.2pt;height:30.75pt;width:45.75pt;z-index:251659264;mso-width-relative:page;mso-height-relative:page;" stroked="f" coordsize="21600,21600" o:gfxdata="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Xi61tkAAAALAQAADwAAAAAAAAABACAAAAAiAAAAZHJzL2Rvd25yZXYueG1sUEsBAhQA&#10;FAAAAAgAh07iQLeTQmG4AQAAdwMAAA4AAAAAAAAAAQAgAAAAKAEAAGRycy9lMm9Eb2MueG1sUEsF&#10;BgAAAAAGAAYAWQEAAFIFAAAAAA==&#10;">
            <v:path/>
            <v:fill focussize="0,0"/>
            <v:stroke on="f"/>
            <v:imagedata o:title=""/>
            <o:lock v:ext="edit"/>
            <v:textbox>
              <w:txbxContent>
                <w:p/>
              </w:txbxContent>
            </v:textbox>
          </v:rect>
        </w:pict>
      </w:r>
    </w:p>
    <w:p>
      <w:pPr>
        <w:spacing w:line="360" w:lineRule="auto"/>
        <w:jc w:val="center"/>
        <w:rPr>
          <w:rFonts w:asciiTheme="majorEastAsia" w:hAnsiTheme="majorEastAsia" w:eastAsiaTheme="majorEastAsia"/>
          <w:b/>
          <w:bCs/>
          <w:sz w:val="36"/>
          <w:szCs w:val="36"/>
        </w:rPr>
      </w:pPr>
      <w:bookmarkStart w:id="0" w:name="_Toc120614210"/>
      <w:bookmarkStart w:id="1" w:name="_Toc479757206"/>
      <w:bookmarkStart w:id="2" w:name="_Toc513029200"/>
      <w:bookmarkStart w:id="3" w:name="_Toc20823272"/>
      <w:bookmarkStart w:id="4" w:name="_Toc16938516"/>
      <w:bookmarkStart w:id="5" w:name="_Toc523127445"/>
      <w:r>
        <w:rPr>
          <w:rFonts w:hint="eastAsia" w:asciiTheme="majorEastAsia" w:hAnsiTheme="majorEastAsia" w:eastAsiaTheme="majorEastAsia"/>
          <w:b/>
          <w:bCs/>
          <w:sz w:val="36"/>
          <w:szCs w:val="36"/>
        </w:rPr>
        <w:t>第一章  招标公告</w:t>
      </w:r>
      <w:bookmarkStart w:id="6" w:name="OLE_LINK2"/>
      <w:bookmarkStart w:id="7" w:name="OLE_LINK4"/>
      <w:bookmarkStart w:id="8" w:name="OLE_LINK3"/>
      <w:bookmarkStart w:id="9" w:name="OLE_LINK5"/>
      <w:bookmarkStart w:id="10" w:name="OLE_LINK1"/>
    </w:p>
    <w:p>
      <w:pPr>
        <w:spacing w:line="360" w:lineRule="auto"/>
        <w:ind w:right="-368" w:rightChars="-175"/>
        <w:jc w:val="center"/>
        <w:rPr>
          <w:rFonts w:asciiTheme="majorEastAsia" w:hAnsiTheme="majorEastAsia" w:eastAsiaTheme="majorEastAsia"/>
          <w:sz w:val="28"/>
          <w:szCs w:val="28"/>
        </w:rPr>
      </w:pPr>
      <w:bookmarkStart w:id="11" w:name="OLE_LINK9"/>
      <w:bookmarkStart w:id="12" w:name="OLE_LINK6"/>
      <w:bookmarkStart w:id="13" w:name="OLE_LINK13"/>
      <w:bookmarkStart w:id="14" w:name="OLE_LINK12"/>
      <w:bookmarkStart w:id="15" w:name="OLE_LINK10"/>
      <w:bookmarkStart w:id="16" w:name="OLE_LINK11"/>
      <w:bookmarkStart w:id="17" w:name="OLE_LINK7"/>
      <w:bookmarkStart w:id="18" w:name="OLE_LINK8"/>
      <w:r>
        <w:rPr>
          <w:rFonts w:hint="eastAsia" w:asciiTheme="majorEastAsia" w:hAnsiTheme="majorEastAsia" w:eastAsiaTheme="majorEastAsia"/>
          <w:sz w:val="28"/>
          <w:szCs w:val="28"/>
        </w:rPr>
        <w:t>南通港码头管理有限公司高空作业平台（直臂式登高车）采购项目</w:t>
      </w:r>
    </w:p>
    <w:p>
      <w:pPr>
        <w:spacing w:line="360" w:lineRule="auto"/>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招标公告（资格后审）</w:t>
      </w:r>
    </w:p>
    <w:p>
      <w:pPr>
        <w:spacing w:line="360" w:lineRule="auto"/>
        <w:ind w:right="-368" w:rightChars="-175"/>
        <w:jc w:val="left"/>
        <w:rPr>
          <w:rFonts w:asciiTheme="majorEastAsia" w:hAnsiTheme="majorEastAsia" w:eastAsiaTheme="majorEastAsia"/>
          <w:b/>
          <w:sz w:val="24"/>
        </w:rPr>
      </w:pPr>
      <w:r>
        <w:rPr>
          <w:rFonts w:hint="eastAsia" w:asciiTheme="majorEastAsia" w:hAnsiTheme="majorEastAsia" w:eastAsiaTheme="majorEastAsia"/>
          <w:sz w:val="24"/>
          <w:u w:val="single"/>
        </w:rPr>
        <w:t>江苏天信建设项目咨询有限公司受南通港码头管理有限公司委托</w:t>
      </w:r>
      <w:r>
        <w:rPr>
          <w:rFonts w:hint="eastAsia" w:asciiTheme="majorEastAsia" w:hAnsiTheme="majorEastAsia" w:eastAsiaTheme="majorEastAsia"/>
          <w:sz w:val="24"/>
        </w:rPr>
        <w:t>,依据《中华人民共和国政府采购法》和其他有关法律、法规及规章的规定，就</w:t>
      </w:r>
      <w:r>
        <w:rPr>
          <w:rFonts w:hint="eastAsia" w:cs="宋体" w:asciiTheme="majorEastAsia" w:hAnsiTheme="majorEastAsia" w:eastAsiaTheme="majorEastAsia"/>
          <w:kern w:val="0"/>
          <w:sz w:val="24"/>
          <w:szCs w:val="24"/>
          <w:u w:val="single"/>
        </w:rPr>
        <w:t>南通港码头管理有限公司高空作业平台（直臂式登高车）采购项目</w:t>
      </w:r>
      <w:r>
        <w:rPr>
          <w:rFonts w:hint="eastAsia" w:asciiTheme="majorEastAsia" w:hAnsiTheme="majorEastAsia" w:eastAsiaTheme="majorEastAsia"/>
          <w:sz w:val="24"/>
        </w:rPr>
        <w:t>进行公开招标。</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一、采购项目名称、编号及采购人名称：</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项目名称：</w:t>
      </w:r>
      <w:r>
        <w:rPr>
          <w:rFonts w:hint="eastAsia" w:cs="宋体" w:asciiTheme="majorEastAsia" w:hAnsiTheme="majorEastAsia" w:eastAsiaTheme="majorEastAsia"/>
          <w:kern w:val="0"/>
          <w:sz w:val="24"/>
          <w:szCs w:val="24"/>
          <w:u w:val="single"/>
        </w:rPr>
        <w:t>南通港码头管理有限公司高空作业平台（直臂式登高车）采购</w:t>
      </w:r>
      <w:r>
        <w:rPr>
          <w:rFonts w:hint="eastAsia" w:asciiTheme="majorEastAsia" w:hAnsiTheme="majorEastAsia" w:eastAsiaTheme="majorEastAsia"/>
          <w:sz w:val="24"/>
          <w:szCs w:val="24"/>
          <w:u w:val="single"/>
        </w:rPr>
        <w:t>项目</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采购人名称：</w:t>
      </w:r>
      <w:r>
        <w:rPr>
          <w:rFonts w:hint="eastAsia" w:asciiTheme="majorEastAsia" w:hAnsiTheme="majorEastAsia" w:eastAsiaTheme="majorEastAsia"/>
          <w:sz w:val="24"/>
          <w:szCs w:val="24"/>
          <w:u w:val="single"/>
        </w:rPr>
        <w:t>南通港码头管理有限公司</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二、采购预算及最高限价：</w:t>
      </w:r>
    </w:p>
    <w:p>
      <w:pPr>
        <w:spacing w:line="360" w:lineRule="auto"/>
        <w:ind w:left="359" w:leftChars="171" w:firstLine="120" w:firstLineChars="50"/>
        <w:rPr>
          <w:rFonts w:asciiTheme="majorEastAsia" w:hAnsiTheme="majorEastAsia" w:eastAsiaTheme="majorEastAsia"/>
          <w:sz w:val="24"/>
          <w:szCs w:val="24"/>
        </w:rPr>
      </w:pPr>
      <w:r>
        <w:rPr>
          <w:rFonts w:hint="eastAsia" w:asciiTheme="majorEastAsia" w:hAnsiTheme="majorEastAsia" w:eastAsiaTheme="majorEastAsia"/>
          <w:sz w:val="24"/>
          <w:szCs w:val="24"/>
        </w:rPr>
        <w:t>本项目最高限价为</w:t>
      </w:r>
      <w:r>
        <w:rPr>
          <w:rFonts w:hint="eastAsia" w:asciiTheme="majorEastAsia" w:hAnsiTheme="majorEastAsia" w:eastAsiaTheme="majorEastAsia"/>
          <w:sz w:val="24"/>
          <w:szCs w:val="24"/>
          <w:u w:val="single"/>
        </w:rPr>
        <w:t>73</w:t>
      </w:r>
      <w:r>
        <w:rPr>
          <w:rFonts w:hint="eastAsia" w:asciiTheme="majorEastAsia" w:hAnsiTheme="majorEastAsia" w:eastAsiaTheme="majorEastAsia"/>
          <w:sz w:val="24"/>
          <w:szCs w:val="24"/>
        </w:rPr>
        <w:t>万元，资金来源为</w:t>
      </w:r>
      <w:r>
        <w:rPr>
          <w:rFonts w:hint="eastAsia" w:asciiTheme="majorEastAsia" w:hAnsiTheme="majorEastAsia" w:eastAsiaTheme="majorEastAsia"/>
          <w:sz w:val="24"/>
          <w:szCs w:val="24"/>
          <w:u w:val="single"/>
        </w:rPr>
        <w:t>自筹</w:t>
      </w:r>
      <w:r>
        <w:rPr>
          <w:rFonts w:hint="eastAsia" w:asciiTheme="majorEastAsia" w:hAnsiTheme="majorEastAsia" w:eastAsiaTheme="majorEastAsia"/>
          <w:sz w:val="24"/>
          <w:szCs w:val="24"/>
        </w:rPr>
        <w:t>。</w:t>
      </w:r>
      <w:r>
        <w:rPr>
          <w:rFonts w:asciiTheme="majorEastAsia" w:hAnsiTheme="majorEastAsia" w:eastAsiaTheme="majorEastAsia"/>
          <w:sz w:val="24"/>
          <w:szCs w:val="24"/>
        </w:rPr>
        <w:t>投标报价超过</w:t>
      </w:r>
      <w:r>
        <w:rPr>
          <w:rFonts w:hint="eastAsia" w:asciiTheme="majorEastAsia" w:hAnsiTheme="majorEastAsia" w:eastAsiaTheme="majorEastAsia"/>
          <w:sz w:val="24"/>
          <w:szCs w:val="24"/>
        </w:rPr>
        <w:t>最高限价</w:t>
      </w:r>
      <w:r>
        <w:rPr>
          <w:rFonts w:asciiTheme="majorEastAsia" w:hAnsiTheme="majorEastAsia" w:eastAsiaTheme="majorEastAsia"/>
          <w:sz w:val="24"/>
          <w:szCs w:val="24"/>
        </w:rPr>
        <w:t>的</w:t>
      </w:r>
      <w:r>
        <w:rPr>
          <w:rFonts w:hint="eastAsia" w:asciiTheme="majorEastAsia" w:hAnsiTheme="majorEastAsia" w:eastAsiaTheme="majorEastAsia"/>
          <w:sz w:val="24"/>
          <w:szCs w:val="24"/>
        </w:rPr>
        <w:t>投标将作为无效投标处理</w:t>
      </w:r>
      <w:r>
        <w:rPr>
          <w:rFonts w:asciiTheme="majorEastAsia" w:hAnsiTheme="majorEastAsia" w:eastAsiaTheme="majorEastAsia"/>
          <w:sz w:val="24"/>
          <w:szCs w:val="24"/>
        </w:rPr>
        <w:t>。</w:t>
      </w:r>
    </w:p>
    <w:p>
      <w:pPr>
        <w:numPr>
          <w:ilvl w:val="0"/>
          <w:numId w:val="11"/>
        </w:numPr>
        <w:snapToGrid w:val="0"/>
        <w:spacing w:line="300" w:lineRule="auto"/>
        <w:ind w:firstLine="480" w:firstLineChars="200"/>
        <w:contextualSpacing/>
        <w:rPr>
          <w:rFonts w:ascii="宋体" w:hAnsi="宋体"/>
          <w:b/>
          <w:sz w:val="24"/>
        </w:rPr>
      </w:pPr>
      <w:r>
        <w:rPr>
          <w:rFonts w:hint="eastAsia" w:ascii="宋体" w:hAnsi="宋体"/>
          <w:bCs/>
          <w:sz w:val="24"/>
        </w:rPr>
        <w:t>项目需求说明：</w:t>
      </w:r>
      <w:r>
        <w:rPr>
          <w:rFonts w:hint="eastAsia" w:ascii="宋体" w:hAnsi="宋体"/>
          <w:bCs/>
          <w:sz w:val="24"/>
          <w:u w:val="single"/>
        </w:rPr>
        <w:t>南通港码头管理有限公司高空作业平台（</w:t>
      </w:r>
      <w:r>
        <w:rPr>
          <w:rFonts w:hint="eastAsia" w:cs="宋体" w:asciiTheme="majorEastAsia" w:hAnsiTheme="majorEastAsia" w:eastAsiaTheme="majorEastAsia"/>
          <w:kern w:val="0"/>
          <w:sz w:val="24"/>
          <w:szCs w:val="24"/>
          <w:u w:val="single"/>
        </w:rPr>
        <w:t>直臂式</w:t>
      </w:r>
      <w:r>
        <w:rPr>
          <w:rFonts w:hint="eastAsia" w:ascii="宋体" w:hAnsi="宋体"/>
          <w:bCs/>
          <w:sz w:val="24"/>
          <w:u w:val="single"/>
        </w:rPr>
        <w:t>登高车）采购项目</w:t>
      </w:r>
      <w:r>
        <w:rPr>
          <w:rFonts w:hint="eastAsia" w:ascii="宋体" w:hAnsi="宋体"/>
          <w:bCs/>
          <w:sz w:val="24"/>
        </w:rPr>
        <w:t>,具体要求详见招标文件。</w:t>
      </w:r>
    </w:p>
    <w:p>
      <w:pPr>
        <w:pStyle w:val="2"/>
        <w:ind w:firstLine="482" w:firstLineChars="200"/>
        <w:rPr>
          <w:b/>
          <w:bCs/>
        </w:rPr>
      </w:pPr>
      <w:r>
        <w:rPr>
          <w:rFonts w:hint="eastAsia" w:ascii="宋体" w:hAnsi="宋体" w:eastAsia="宋体"/>
          <w:b/>
          <w:bCs/>
          <w:sz w:val="24"/>
          <w:szCs w:val="24"/>
          <w:u w:val="single"/>
        </w:rPr>
        <w:t>注：技术参数及平面图详见招标文件第四章，请仔细研究。</w:t>
      </w:r>
    </w:p>
    <w:p>
      <w:pPr>
        <w:pStyle w:val="2"/>
        <w:ind w:firstLine="480" w:firstLineChars="200"/>
      </w:pPr>
      <w:r>
        <w:rPr>
          <w:rFonts w:hint="eastAsia" w:ascii="宋体" w:hAnsi="宋体" w:eastAsia="宋体"/>
          <w:sz w:val="24"/>
          <w:szCs w:val="24"/>
        </w:rPr>
        <w:t>项目交付地点：南通港码头管理有限公司（江苏省南通市通州区开沙岛开沙村东沙大道）</w:t>
      </w:r>
    </w:p>
    <w:p>
      <w:pPr>
        <w:spacing w:line="360" w:lineRule="auto"/>
        <w:ind w:firstLine="602" w:firstLineChars="250"/>
        <w:rPr>
          <w:rFonts w:ascii="宋体" w:hAnsi="宋体"/>
          <w:sz w:val="24"/>
        </w:rPr>
      </w:pPr>
      <w:r>
        <w:rPr>
          <w:rFonts w:hint="eastAsia" w:ascii="宋体" w:hAnsi="宋体"/>
          <w:b/>
          <w:sz w:val="24"/>
        </w:rPr>
        <w:t>质量要求及验收标准：</w:t>
      </w:r>
      <w:r>
        <w:rPr>
          <w:rFonts w:hint="eastAsia" w:ascii="宋体" w:hAnsi="宋体"/>
          <w:sz w:val="24"/>
        </w:rPr>
        <w:t>符合国家规范和业主要求。</w:t>
      </w:r>
    </w:p>
    <w:p>
      <w:pPr>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四、供应商必须符合的资格条件：</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（一）具备《中华人民共和国政府采购法》第二十二条规定的条件：</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1</w:t>
      </w:r>
      <w:r>
        <w:rPr>
          <w:rFonts w:asciiTheme="majorEastAsia" w:hAnsiTheme="majorEastAsia" w:eastAsiaTheme="majorEastAsia"/>
          <w:sz w:val="24"/>
          <w:szCs w:val="24"/>
        </w:rPr>
        <w:t>）具有独立承担民事责任的能力；</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2</w:t>
      </w:r>
      <w:r>
        <w:rPr>
          <w:rFonts w:asciiTheme="majorEastAsia" w:hAnsiTheme="majorEastAsia" w:eastAsiaTheme="majorEastAsia"/>
          <w:sz w:val="24"/>
          <w:szCs w:val="24"/>
        </w:rPr>
        <w:t>）具有良好的商业信誉和健全的财务会计制度；</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3</w:t>
      </w:r>
      <w:r>
        <w:rPr>
          <w:rFonts w:asciiTheme="majorEastAsia" w:hAnsiTheme="majorEastAsia" w:eastAsiaTheme="majorEastAsia"/>
          <w:sz w:val="24"/>
          <w:szCs w:val="24"/>
        </w:rPr>
        <w:t>）具有履行合同所必需的设备和专业技术能力；</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4</w:t>
      </w:r>
      <w:r>
        <w:rPr>
          <w:rFonts w:asciiTheme="majorEastAsia" w:hAnsiTheme="majorEastAsia" w:eastAsiaTheme="majorEastAsia"/>
          <w:sz w:val="24"/>
          <w:szCs w:val="24"/>
        </w:rPr>
        <w:t>）有依法缴纳税收和社会保障资金的良好记录；</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5</w:t>
      </w:r>
      <w:r>
        <w:rPr>
          <w:rFonts w:asciiTheme="majorEastAsia" w:hAnsiTheme="majorEastAsia" w:eastAsiaTheme="majorEastAsia"/>
          <w:sz w:val="24"/>
          <w:szCs w:val="24"/>
        </w:rPr>
        <w:t>）参加政府采购活动前三年内，在经营活动中没有重大违法记录；</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rPr>
        <w:t>6</w:t>
      </w:r>
      <w:r>
        <w:rPr>
          <w:rFonts w:asciiTheme="majorEastAsia" w:hAnsiTheme="majorEastAsia" w:eastAsiaTheme="majorEastAsia"/>
          <w:sz w:val="24"/>
          <w:szCs w:val="24"/>
        </w:rPr>
        <w:t>）法律、行政法规规定的其他条件。</w:t>
      </w:r>
      <w:r>
        <w:rPr>
          <w:rFonts w:hint="eastAsia" w:asciiTheme="majorEastAsia" w:hAnsiTheme="majorEastAsia" w:eastAsiaTheme="majorEastAsia"/>
          <w:sz w:val="24"/>
          <w:szCs w:val="24"/>
        </w:rPr>
        <w:t>且符合、承认并承诺履行招标文件各项规定的国内法人、其他组织（不包括在港澳台地区注册成立的法人、其它组织）；</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szCs w:val="24"/>
        </w:rPr>
        <w:t>（二）未被“信用中国”网站</w:t>
      </w:r>
      <w:r>
        <w:rPr>
          <w:rFonts w:hint="eastAsia" w:asciiTheme="majorEastAsia" w:hAnsiTheme="majorEastAsia" w:eastAsiaTheme="majorEastAsia"/>
          <w:sz w:val="24"/>
        </w:rPr>
        <w:t>(</w:t>
      </w:r>
      <w:r>
        <w:fldChar w:fldCharType="begin"/>
      </w:r>
      <w:r>
        <w:instrText xml:space="preserve"> HYPERLINK "http://www.creditchina.gov.cn" </w:instrText>
      </w:r>
      <w:r>
        <w:fldChar w:fldCharType="separate"/>
      </w:r>
      <w:r>
        <w:rPr>
          <w:rFonts w:hint="eastAsia" w:asciiTheme="majorEastAsia" w:hAnsiTheme="majorEastAsia" w:eastAsiaTheme="majorEastAsia"/>
          <w:sz w:val="24"/>
        </w:rPr>
        <w:t>www.credit</w:t>
      </w:r>
      <w:bookmarkStart w:id="19" w:name="_Hlt509563483"/>
      <w:r>
        <w:rPr>
          <w:rFonts w:hint="eastAsia" w:asciiTheme="majorEastAsia" w:hAnsiTheme="majorEastAsia" w:eastAsiaTheme="majorEastAsia"/>
          <w:sz w:val="24"/>
        </w:rPr>
        <w:t>c</w:t>
      </w:r>
      <w:bookmarkEnd w:id="19"/>
      <w:r>
        <w:rPr>
          <w:rFonts w:hint="eastAsia" w:asciiTheme="majorEastAsia" w:hAnsiTheme="majorEastAsia" w:eastAsiaTheme="majorEastAsia"/>
          <w:sz w:val="24"/>
        </w:rPr>
        <w:t>hina.gov.cn</w:t>
      </w:r>
      <w:r>
        <w:rPr>
          <w:rFonts w:hint="eastAsia" w:asciiTheme="majorEastAsia" w:hAnsiTheme="majorEastAsia" w:eastAsiaTheme="majorEastAsia"/>
          <w:sz w:val="24"/>
        </w:rPr>
        <w:fldChar w:fldCharType="end"/>
      </w:r>
      <w:r>
        <w:rPr>
          <w:rFonts w:hint="eastAsia" w:asciiTheme="majorEastAsia" w:hAnsiTheme="majorEastAsia" w:eastAsiaTheme="majorEastAsia"/>
          <w:sz w:val="24"/>
        </w:rPr>
        <w:t>)、中华人民</w:t>
      </w:r>
      <w:r>
        <w:rPr>
          <w:rFonts w:asciiTheme="majorEastAsia" w:hAnsiTheme="majorEastAsia" w:eastAsiaTheme="majorEastAsia"/>
          <w:sz w:val="24"/>
        </w:rPr>
        <w:t>共和国</w:t>
      </w:r>
      <w:r>
        <w:rPr>
          <w:rFonts w:hint="eastAsia" w:asciiTheme="majorEastAsia" w:hAnsiTheme="majorEastAsia" w:eastAsiaTheme="majorEastAsia"/>
          <w:sz w:val="24"/>
        </w:rPr>
        <w:t>最高人民法院网站</w:t>
      </w:r>
      <w:r>
        <w:rPr>
          <w:rFonts w:asciiTheme="majorEastAsia" w:hAnsiTheme="majorEastAsia" w:eastAsiaTheme="majorEastAsia"/>
          <w:sz w:val="24"/>
        </w:rPr>
        <w:t>（</w:t>
      </w:r>
      <w:r>
        <w:fldChar w:fldCharType="begin"/>
      </w:r>
      <w:r>
        <w:instrText xml:space="preserve"> HYPERLINK "http://www.court.gov.cn/" </w:instrText>
      </w:r>
      <w:r>
        <w:fldChar w:fldCharType="separate"/>
      </w:r>
      <w:r>
        <w:rPr>
          <w:rFonts w:asciiTheme="majorEastAsia" w:hAnsiTheme="majorEastAsia" w:eastAsiaTheme="majorEastAsia"/>
          <w:sz w:val="24"/>
        </w:rPr>
        <w:t>http://w</w:t>
      </w:r>
      <w:bookmarkStart w:id="20" w:name="_Hlt509563477"/>
      <w:r>
        <w:rPr>
          <w:rFonts w:asciiTheme="majorEastAsia" w:hAnsiTheme="majorEastAsia" w:eastAsiaTheme="majorEastAsia"/>
          <w:sz w:val="24"/>
        </w:rPr>
        <w:t>w</w:t>
      </w:r>
      <w:bookmarkEnd w:id="20"/>
      <w:bookmarkStart w:id="21" w:name="_Hlt509563468"/>
      <w:bookmarkStart w:id="22" w:name="_Hlt509563467"/>
      <w:r>
        <w:rPr>
          <w:rFonts w:asciiTheme="majorEastAsia" w:hAnsiTheme="majorEastAsia" w:eastAsiaTheme="majorEastAsia"/>
          <w:sz w:val="24"/>
        </w:rPr>
        <w:t>w</w:t>
      </w:r>
      <w:bookmarkEnd w:id="21"/>
      <w:bookmarkEnd w:id="22"/>
      <w:r>
        <w:rPr>
          <w:rFonts w:asciiTheme="majorEastAsia" w:hAnsiTheme="majorEastAsia" w:eastAsiaTheme="majorEastAsia"/>
          <w:sz w:val="24"/>
        </w:rPr>
        <w:t>.court.gov.cn</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等渠道列入信用记录失信被执行人，未被中国政府采购网(</w:t>
      </w:r>
      <w:r>
        <w:fldChar w:fldCharType="begin"/>
      </w:r>
      <w:r>
        <w:instrText xml:space="preserve"> HYPERLINK "http://www.ccgp.gov.cn" </w:instrText>
      </w:r>
      <w:r>
        <w:fldChar w:fldCharType="separate"/>
      </w:r>
      <w:r>
        <w:rPr>
          <w:rFonts w:hint="eastAsia" w:asciiTheme="majorEastAsia" w:hAnsiTheme="majorEastAsia" w:eastAsiaTheme="majorEastAsia"/>
          <w:sz w:val="24"/>
        </w:rPr>
        <w:t>www.ccg</w:t>
      </w:r>
      <w:bookmarkStart w:id="23" w:name="_Hlt509563489"/>
      <w:r>
        <w:rPr>
          <w:rFonts w:hint="eastAsia" w:asciiTheme="majorEastAsia" w:hAnsiTheme="majorEastAsia" w:eastAsiaTheme="majorEastAsia"/>
          <w:sz w:val="24"/>
        </w:rPr>
        <w:t>p</w:t>
      </w:r>
      <w:bookmarkEnd w:id="23"/>
      <w:r>
        <w:rPr>
          <w:rFonts w:hint="eastAsia" w:asciiTheme="majorEastAsia" w:hAnsiTheme="majorEastAsia" w:eastAsiaTheme="majorEastAsia"/>
          <w:sz w:val="24"/>
        </w:rPr>
        <w:t>.gov.cn</w:t>
      </w:r>
      <w:r>
        <w:rPr>
          <w:rFonts w:hint="eastAsia" w:asciiTheme="majorEastAsia" w:hAnsiTheme="majorEastAsia" w:eastAsiaTheme="majorEastAsia"/>
          <w:sz w:val="24"/>
        </w:rPr>
        <w:fldChar w:fldCharType="end"/>
      </w:r>
      <w:r>
        <w:rPr>
          <w:rFonts w:hint="eastAsia" w:asciiTheme="majorEastAsia" w:hAnsiTheme="majorEastAsia" w:eastAsiaTheme="majorEastAsia"/>
          <w:sz w:val="24"/>
        </w:rPr>
        <w:t>)等渠道列入政府采购严重违法失信行为记录名单，未被中华人民共和国应急管理部网站</w:t>
      </w:r>
      <w:r>
        <w:rPr>
          <w:rFonts w:asciiTheme="majorEastAsia" w:hAnsiTheme="majorEastAsia" w:eastAsiaTheme="majorEastAsia"/>
          <w:sz w:val="24"/>
        </w:rPr>
        <w:t>（</w:t>
      </w:r>
      <w:r>
        <w:fldChar w:fldCharType="begin"/>
      </w:r>
      <w:r>
        <w:instrText xml:space="preserve"> HYPERLINK "http://www.chinasafety.gov.cn/" </w:instrText>
      </w:r>
      <w:r>
        <w:fldChar w:fldCharType="separate"/>
      </w:r>
      <w:r>
        <w:rPr>
          <w:rFonts w:asciiTheme="majorEastAsia" w:hAnsiTheme="majorEastAsia" w:eastAsiaTheme="majorEastAsia"/>
          <w:sz w:val="24"/>
        </w:rPr>
        <w:t>http://w</w:t>
      </w:r>
      <w:bookmarkStart w:id="24" w:name="_Hlt509397152"/>
      <w:bookmarkStart w:id="25" w:name="_Hlt509563499"/>
      <w:r>
        <w:rPr>
          <w:rFonts w:asciiTheme="majorEastAsia" w:hAnsiTheme="majorEastAsia" w:eastAsiaTheme="majorEastAsia"/>
          <w:sz w:val="24"/>
        </w:rPr>
        <w:t>w</w:t>
      </w:r>
      <w:bookmarkEnd w:id="24"/>
      <w:bookmarkEnd w:id="25"/>
      <w:r>
        <w:rPr>
          <w:rFonts w:asciiTheme="majorEastAsia" w:hAnsiTheme="majorEastAsia" w:eastAsiaTheme="majorEastAsia"/>
          <w:sz w:val="24"/>
        </w:rPr>
        <w:t>w.chin</w:t>
      </w:r>
      <w:bookmarkStart w:id="26" w:name="_Hlt509397143"/>
      <w:bookmarkStart w:id="27" w:name="_Hlt509397144"/>
      <w:bookmarkStart w:id="28" w:name="_Hlt509563572"/>
      <w:r>
        <w:rPr>
          <w:rFonts w:asciiTheme="majorEastAsia" w:hAnsiTheme="majorEastAsia" w:eastAsiaTheme="majorEastAsia"/>
          <w:sz w:val="24"/>
        </w:rPr>
        <w:t>a</w:t>
      </w:r>
      <w:bookmarkEnd w:id="26"/>
      <w:bookmarkEnd w:id="27"/>
      <w:bookmarkEnd w:id="28"/>
      <w:bookmarkStart w:id="29" w:name="_Hlt509563557"/>
      <w:r>
        <w:rPr>
          <w:rFonts w:asciiTheme="majorEastAsia" w:hAnsiTheme="majorEastAsia" w:eastAsiaTheme="majorEastAsia"/>
          <w:sz w:val="24"/>
        </w:rPr>
        <w:t>s</w:t>
      </w:r>
      <w:bookmarkEnd w:id="29"/>
      <w:r>
        <w:rPr>
          <w:rFonts w:asciiTheme="majorEastAsia" w:hAnsiTheme="majorEastAsia" w:eastAsiaTheme="majorEastAsia"/>
          <w:sz w:val="24"/>
        </w:rPr>
        <w:t>afety.gov.cn</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等渠道列入</w:t>
      </w:r>
      <w:r>
        <w:rPr>
          <w:rFonts w:asciiTheme="majorEastAsia" w:hAnsiTheme="majorEastAsia" w:eastAsiaTheme="majorEastAsia"/>
          <w:sz w:val="24"/>
        </w:rPr>
        <w:t>安全生产失信联合惩戒“</w:t>
      </w:r>
      <w:r>
        <w:rPr>
          <w:rFonts w:hint="eastAsia" w:asciiTheme="majorEastAsia" w:hAnsiTheme="majorEastAsia" w:eastAsiaTheme="majorEastAsia"/>
          <w:sz w:val="24"/>
        </w:rPr>
        <w:t>黑名单</w:t>
      </w:r>
      <w:r>
        <w:rPr>
          <w:rFonts w:asciiTheme="majorEastAsia" w:hAnsiTheme="majorEastAsia" w:eastAsiaTheme="majorEastAsia"/>
          <w:sz w:val="24"/>
        </w:rPr>
        <w:t>”</w:t>
      </w:r>
      <w:r>
        <w:rPr>
          <w:rFonts w:hint="eastAsia" w:asciiTheme="majorEastAsia" w:hAnsiTheme="majorEastAsia" w:eastAsiaTheme="majorEastAsia"/>
          <w:sz w:val="24"/>
        </w:rPr>
        <w:t>， 未被国家税务总局</w:t>
      </w:r>
      <w:r>
        <w:rPr>
          <w:rFonts w:asciiTheme="majorEastAsia" w:hAnsiTheme="majorEastAsia" w:eastAsiaTheme="majorEastAsia"/>
          <w:sz w:val="24"/>
        </w:rPr>
        <w:t>网站（</w:t>
      </w:r>
      <w:r>
        <w:fldChar w:fldCharType="begin"/>
      </w:r>
      <w:r>
        <w:instrText xml:space="preserve"> HYPERLINK "http://hd.chinatax.gov.cn/xxk/" </w:instrText>
      </w:r>
      <w:r>
        <w:fldChar w:fldCharType="separate"/>
      </w:r>
      <w:r>
        <w:rPr>
          <w:rFonts w:asciiTheme="majorEastAsia" w:hAnsiTheme="majorEastAsia" w:eastAsiaTheme="majorEastAsia"/>
          <w:sz w:val="24"/>
        </w:rPr>
        <w:t>http://hd.chin</w:t>
      </w:r>
      <w:bookmarkStart w:id="30" w:name="_Hlt509563604"/>
      <w:r>
        <w:rPr>
          <w:rFonts w:asciiTheme="majorEastAsia" w:hAnsiTheme="majorEastAsia" w:eastAsiaTheme="majorEastAsia"/>
          <w:sz w:val="24"/>
        </w:rPr>
        <w:t>a</w:t>
      </w:r>
      <w:bookmarkEnd w:id="30"/>
      <w:r>
        <w:rPr>
          <w:rFonts w:asciiTheme="majorEastAsia" w:hAnsiTheme="majorEastAsia" w:eastAsiaTheme="majorEastAsia"/>
          <w:sz w:val="24"/>
        </w:rPr>
        <w:t>ta</w:t>
      </w:r>
      <w:bookmarkStart w:id="31" w:name="_Hlt509563581"/>
      <w:r>
        <w:rPr>
          <w:rFonts w:asciiTheme="majorEastAsia" w:hAnsiTheme="majorEastAsia" w:eastAsiaTheme="majorEastAsia"/>
          <w:sz w:val="24"/>
        </w:rPr>
        <w:t>x</w:t>
      </w:r>
      <w:bookmarkEnd w:id="31"/>
      <w:r>
        <w:rPr>
          <w:rFonts w:asciiTheme="majorEastAsia" w:hAnsiTheme="majorEastAsia" w:eastAsiaTheme="majorEastAsia"/>
          <w:sz w:val="24"/>
        </w:rPr>
        <w:t>.gov.</w:t>
      </w:r>
      <w:bookmarkStart w:id="32" w:name="_Hlt509397166"/>
      <w:r>
        <w:rPr>
          <w:rFonts w:asciiTheme="majorEastAsia" w:hAnsiTheme="majorEastAsia" w:eastAsiaTheme="majorEastAsia"/>
          <w:sz w:val="24"/>
        </w:rPr>
        <w:t>c</w:t>
      </w:r>
      <w:bookmarkEnd w:id="32"/>
      <w:r>
        <w:rPr>
          <w:rFonts w:asciiTheme="majorEastAsia" w:hAnsiTheme="majorEastAsia" w:eastAsiaTheme="majorEastAsia"/>
          <w:sz w:val="24"/>
        </w:rPr>
        <w:t>n/xxk</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w:t>
      </w:r>
      <w:r>
        <w:rPr>
          <w:rFonts w:asciiTheme="majorEastAsia" w:hAnsiTheme="majorEastAsia" w:eastAsiaTheme="majorEastAsia"/>
          <w:sz w:val="24"/>
        </w:rPr>
        <w:t>列入</w:t>
      </w:r>
      <w:r>
        <w:rPr>
          <w:rFonts w:hint="eastAsia" w:asciiTheme="majorEastAsia" w:hAnsiTheme="majorEastAsia" w:eastAsiaTheme="majorEastAsia"/>
          <w:sz w:val="24"/>
        </w:rPr>
        <w:t>重大税收违法案件当事人名单，未被国家企业</w:t>
      </w:r>
      <w:r>
        <w:rPr>
          <w:rFonts w:asciiTheme="majorEastAsia" w:hAnsiTheme="majorEastAsia" w:eastAsiaTheme="majorEastAsia"/>
          <w:sz w:val="24"/>
        </w:rPr>
        <w:t>信用信息公示系统（</w:t>
      </w:r>
      <w:r>
        <w:fldChar w:fldCharType="begin"/>
      </w:r>
      <w:r>
        <w:instrText xml:space="preserve"> HYPERLINK "http://www.gsxt.gov.cn" </w:instrText>
      </w:r>
      <w:r>
        <w:fldChar w:fldCharType="separate"/>
      </w:r>
      <w:r>
        <w:rPr>
          <w:rFonts w:asciiTheme="majorEastAsia" w:hAnsiTheme="majorEastAsia" w:eastAsiaTheme="majorEastAsia"/>
          <w:sz w:val="24"/>
        </w:rPr>
        <w:t>http://www</w:t>
      </w:r>
      <w:bookmarkStart w:id="33" w:name="_Hlt509563738"/>
      <w:r>
        <w:rPr>
          <w:rFonts w:asciiTheme="majorEastAsia" w:hAnsiTheme="majorEastAsia" w:eastAsiaTheme="majorEastAsia"/>
          <w:sz w:val="24"/>
        </w:rPr>
        <w:t>.</w:t>
      </w:r>
      <w:bookmarkEnd w:id="33"/>
      <w:r>
        <w:rPr>
          <w:rFonts w:asciiTheme="majorEastAsia" w:hAnsiTheme="majorEastAsia" w:eastAsiaTheme="majorEastAsia"/>
          <w:sz w:val="24"/>
        </w:rPr>
        <w:t>g</w:t>
      </w:r>
      <w:bookmarkStart w:id="34" w:name="_Hlt509397182"/>
      <w:r>
        <w:rPr>
          <w:rFonts w:asciiTheme="majorEastAsia" w:hAnsiTheme="majorEastAsia" w:eastAsiaTheme="majorEastAsia"/>
          <w:sz w:val="24"/>
        </w:rPr>
        <w:t>s</w:t>
      </w:r>
      <w:bookmarkEnd w:id="34"/>
      <w:r>
        <w:rPr>
          <w:rFonts w:asciiTheme="majorEastAsia" w:hAnsiTheme="majorEastAsia" w:eastAsiaTheme="majorEastAsia"/>
          <w:sz w:val="24"/>
        </w:rPr>
        <w:t>x</w:t>
      </w:r>
      <w:bookmarkStart w:id="35" w:name="_Hlt509563624"/>
      <w:r>
        <w:rPr>
          <w:rFonts w:asciiTheme="majorEastAsia" w:hAnsiTheme="majorEastAsia" w:eastAsiaTheme="majorEastAsia"/>
          <w:sz w:val="24"/>
        </w:rPr>
        <w:t>t</w:t>
      </w:r>
      <w:bookmarkEnd w:id="35"/>
      <w:bookmarkStart w:id="36" w:name="_Hlt509397186"/>
      <w:r>
        <w:rPr>
          <w:rFonts w:asciiTheme="majorEastAsia" w:hAnsiTheme="majorEastAsia" w:eastAsiaTheme="majorEastAsia"/>
          <w:sz w:val="24"/>
        </w:rPr>
        <w:t>.</w:t>
      </w:r>
      <w:bookmarkEnd w:id="36"/>
      <w:r>
        <w:rPr>
          <w:rFonts w:asciiTheme="majorEastAsia" w:hAnsiTheme="majorEastAsia" w:eastAsiaTheme="majorEastAsia"/>
          <w:sz w:val="24"/>
        </w:rPr>
        <w:t>gov.</w:t>
      </w:r>
      <w:bookmarkStart w:id="37" w:name="_Hlt509397192"/>
      <w:r>
        <w:rPr>
          <w:rFonts w:asciiTheme="majorEastAsia" w:hAnsiTheme="majorEastAsia" w:eastAsiaTheme="majorEastAsia"/>
          <w:sz w:val="24"/>
        </w:rPr>
        <w:t>c</w:t>
      </w:r>
      <w:bookmarkEnd w:id="37"/>
      <w:r>
        <w:rPr>
          <w:rFonts w:asciiTheme="majorEastAsia" w:hAnsiTheme="majorEastAsia" w:eastAsiaTheme="majorEastAsia"/>
          <w:sz w:val="24"/>
        </w:rPr>
        <w:t>n</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w:t>
      </w:r>
      <w:r>
        <w:rPr>
          <w:rFonts w:asciiTheme="majorEastAsia" w:hAnsiTheme="majorEastAsia" w:eastAsiaTheme="majorEastAsia"/>
          <w:sz w:val="24"/>
        </w:rPr>
        <w:t>列入</w:t>
      </w:r>
      <w:r>
        <w:rPr>
          <w:rFonts w:hint="eastAsia" w:asciiTheme="majorEastAsia" w:hAnsiTheme="majorEastAsia" w:eastAsiaTheme="majorEastAsia"/>
          <w:sz w:val="24"/>
        </w:rPr>
        <w:t>经营异常名录、严重违法</w:t>
      </w:r>
      <w:r>
        <w:rPr>
          <w:rFonts w:asciiTheme="majorEastAsia" w:hAnsiTheme="majorEastAsia" w:eastAsiaTheme="majorEastAsia"/>
          <w:sz w:val="24"/>
        </w:rPr>
        <w:t>失信企业名单</w:t>
      </w:r>
      <w:r>
        <w:rPr>
          <w:rFonts w:hint="eastAsia" w:asciiTheme="majorEastAsia" w:hAnsiTheme="majorEastAsia" w:eastAsiaTheme="majorEastAsia"/>
          <w:sz w:val="24"/>
        </w:rPr>
        <w:t>，未被</w:t>
      </w:r>
      <w:r>
        <w:rPr>
          <w:rFonts w:asciiTheme="majorEastAsia" w:hAnsiTheme="majorEastAsia" w:eastAsiaTheme="majorEastAsia"/>
          <w:sz w:val="24"/>
        </w:rPr>
        <w:t>全国公共资源交易平台（</w:t>
      </w:r>
      <w:r>
        <w:fldChar w:fldCharType="begin"/>
      </w:r>
      <w:r>
        <w:instrText xml:space="preserve"> HYPERLINK "http://www.ggzy.gov.cn" </w:instrText>
      </w:r>
      <w:r>
        <w:fldChar w:fldCharType="separate"/>
      </w:r>
      <w:r>
        <w:rPr>
          <w:rFonts w:asciiTheme="majorEastAsia" w:hAnsiTheme="majorEastAsia" w:eastAsiaTheme="majorEastAsia"/>
        </w:rPr>
        <w:t>http</w:t>
      </w:r>
      <w:bookmarkStart w:id="38" w:name="_Hlt509397218"/>
      <w:r>
        <w:rPr>
          <w:rFonts w:asciiTheme="majorEastAsia" w:hAnsiTheme="majorEastAsia" w:eastAsiaTheme="majorEastAsia"/>
        </w:rPr>
        <w:t>:</w:t>
      </w:r>
      <w:bookmarkEnd w:id="38"/>
      <w:r>
        <w:rPr>
          <w:rFonts w:asciiTheme="majorEastAsia" w:hAnsiTheme="majorEastAsia" w:eastAsiaTheme="majorEastAsia"/>
        </w:rPr>
        <w:t>//www.</w:t>
      </w:r>
      <w:bookmarkStart w:id="39" w:name="_Hlt509563644"/>
      <w:r>
        <w:rPr>
          <w:rFonts w:asciiTheme="majorEastAsia" w:hAnsiTheme="majorEastAsia" w:eastAsiaTheme="majorEastAsia"/>
        </w:rPr>
        <w:t>g</w:t>
      </w:r>
      <w:bookmarkEnd w:id="39"/>
      <w:r>
        <w:rPr>
          <w:rFonts w:asciiTheme="majorEastAsia" w:hAnsiTheme="majorEastAsia" w:eastAsiaTheme="majorEastAsia"/>
        </w:rPr>
        <w:t>gzy.gov.cn</w:t>
      </w:r>
      <w:r>
        <w:rPr>
          <w:rFonts w:asciiTheme="majorEastAsia" w:hAnsiTheme="majorEastAsia" w:eastAsiaTheme="majorEastAsia"/>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w:t>
      </w:r>
      <w:r>
        <w:rPr>
          <w:rFonts w:asciiTheme="majorEastAsia" w:hAnsiTheme="majorEastAsia" w:eastAsiaTheme="majorEastAsia"/>
          <w:sz w:val="24"/>
        </w:rPr>
        <w:t>列入</w:t>
      </w:r>
      <w:r>
        <w:rPr>
          <w:rFonts w:hint="eastAsia" w:asciiTheme="majorEastAsia" w:hAnsiTheme="majorEastAsia" w:eastAsiaTheme="majorEastAsia"/>
          <w:sz w:val="24"/>
        </w:rPr>
        <w:t>黑名单；</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szCs w:val="24"/>
        </w:rPr>
        <w:t>（三）</w:t>
      </w:r>
      <w:r>
        <w:rPr>
          <w:rFonts w:hint="eastAsia" w:asciiTheme="majorEastAsia" w:hAnsiTheme="majorEastAsia" w:eastAsiaTheme="majorEastAsia"/>
          <w:sz w:val="24"/>
        </w:rPr>
        <w:t>单位负责人为同一人或者存在直接控股、管理关系的不同供应商，不得参加同一合同项下的采购活动；法定代表人为同一个人的两个及两个以上法人，母公司、全资子公司及其控股公司，都不得参加同一合同项目的采购活动。</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（四）</w:t>
      </w:r>
      <w:r>
        <w:rPr>
          <w:rFonts w:asciiTheme="majorEastAsia" w:hAnsiTheme="majorEastAsia" w:eastAsiaTheme="majorEastAsia"/>
          <w:sz w:val="24"/>
          <w:szCs w:val="24"/>
        </w:rPr>
        <w:t>具备</w:t>
      </w:r>
      <w:r>
        <w:rPr>
          <w:rFonts w:hint="eastAsia" w:asciiTheme="majorEastAsia" w:hAnsiTheme="majorEastAsia" w:eastAsiaTheme="majorEastAsia"/>
          <w:sz w:val="24"/>
          <w:szCs w:val="24"/>
        </w:rPr>
        <w:t>完成</w:t>
      </w:r>
      <w:r>
        <w:rPr>
          <w:rFonts w:asciiTheme="majorEastAsia" w:hAnsiTheme="majorEastAsia" w:eastAsiaTheme="majorEastAsia"/>
          <w:sz w:val="24"/>
          <w:szCs w:val="24"/>
        </w:rPr>
        <w:t>本项目标的物</w:t>
      </w:r>
      <w:r>
        <w:rPr>
          <w:rFonts w:hint="eastAsia" w:asciiTheme="majorEastAsia" w:hAnsiTheme="majorEastAsia" w:eastAsiaTheme="majorEastAsia"/>
          <w:sz w:val="24"/>
          <w:szCs w:val="24"/>
        </w:rPr>
        <w:t>的</w:t>
      </w:r>
      <w:r>
        <w:rPr>
          <w:rFonts w:asciiTheme="majorEastAsia" w:hAnsiTheme="majorEastAsia" w:eastAsiaTheme="majorEastAsia"/>
          <w:sz w:val="24"/>
          <w:szCs w:val="24"/>
        </w:rPr>
        <w:t>资质</w:t>
      </w:r>
      <w:r>
        <w:rPr>
          <w:rFonts w:hint="eastAsia" w:asciiTheme="majorEastAsia" w:hAnsiTheme="majorEastAsia" w:eastAsiaTheme="majorEastAsia"/>
          <w:sz w:val="24"/>
          <w:szCs w:val="24"/>
        </w:rPr>
        <w:t>和能力，并能提供相应服务；</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（五）本项目不接受联合体投标；</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（六）供应商中标后不得将中标项目分包或者转让给其他主体实施；</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五、招标公告期限：本招标公告在 “南通市公共资源交易网http://ggzyjy.nantong.gov.cn/jyxx/tradeInfo.html、南通港口集团有限公司http://www.ntport.com.cn/?ivk_sa=1024320u”同步发布</w:t>
      </w:r>
      <w:r>
        <w:rPr>
          <w:rFonts w:asciiTheme="majorEastAsia" w:hAnsiTheme="majorEastAsia" w:eastAsiaTheme="majorEastAsia"/>
          <w:sz w:val="24"/>
          <w:szCs w:val="24"/>
        </w:rPr>
        <w:t>。</w:t>
      </w:r>
      <w:r>
        <w:rPr>
          <w:rFonts w:hint="eastAsia" w:asciiTheme="majorEastAsia" w:hAnsiTheme="majorEastAsia" w:eastAsiaTheme="majorEastAsia"/>
          <w:sz w:val="24"/>
          <w:szCs w:val="24"/>
        </w:rPr>
        <w:t>公告期限为：招标公告发布之日起5个工作日。</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六、投标保证金：壹万元整（转账形式）</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参与投标前将保证金交到以下</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账户：江苏天信建设项目咨询有限公司南通市分公司，</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账号：493672504450，</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开户银行：中国银行股份有限公司南通中南世纪城支行。</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七、下载报名、开标时间</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1、供应商网上报名：方式：在“南通市公共资源交易网http://ggzyjy.nantong.gov.cn/jyxx/tradeInfo.html、南通港口集团有限公司http://www.ntport.com.cn/?ivk_sa=1024320u”自行下载采购文件。</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2、递交投标文件地点：纸质响应文件接收截止及开标时间、地点：</w:t>
      </w:r>
      <w:r>
        <w:rPr>
          <w:rFonts w:hint="eastAsia" w:asciiTheme="majorEastAsia" w:hAnsiTheme="majorEastAsia" w:eastAsiaTheme="majorEastAsia"/>
          <w:sz w:val="24"/>
          <w:szCs w:val="24"/>
          <w:highlight w:val="yellow"/>
        </w:rPr>
        <w:t>2021年9月</w:t>
      </w:r>
      <w:r>
        <w:rPr>
          <w:rFonts w:hint="eastAsia" w:asciiTheme="majorEastAsia" w:hAnsiTheme="majorEastAsia" w:eastAsiaTheme="majorEastAsia"/>
          <w:sz w:val="24"/>
          <w:szCs w:val="24"/>
          <w:highlight w:val="yellow"/>
          <w:lang w:val="en-US" w:eastAsia="zh-CN"/>
        </w:rPr>
        <w:t>17</w:t>
      </w:r>
      <w:r>
        <w:rPr>
          <w:rFonts w:hint="eastAsia" w:asciiTheme="majorEastAsia" w:hAnsiTheme="majorEastAsia" w:eastAsiaTheme="majorEastAsia"/>
          <w:sz w:val="24"/>
          <w:szCs w:val="24"/>
          <w:highlight w:val="yellow"/>
        </w:rPr>
        <w:t>日9时30分</w:t>
      </w:r>
      <w:r>
        <w:rPr>
          <w:rFonts w:hint="eastAsia" w:asciiTheme="majorEastAsia" w:hAnsiTheme="majorEastAsia" w:eastAsiaTheme="majorEastAsia"/>
          <w:sz w:val="24"/>
          <w:szCs w:val="24"/>
        </w:rPr>
        <w:t>，南通港码头管理有限公司（地址：江苏省南通市通州区开沙岛开沙村东沙大道）。逾期送达的投标文件将被拒绝；</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3、开标时间：</w:t>
      </w:r>
      <w:r>
        <w:rPr>
          <w:rFonts w:hint="eastAsia" w:asciiTheme="majorEastAsia" w:hAnsiTheme="majorEastAsia" w:eastAsiaTheme="majorEastAsia"/>
          <w:sz w:val="24"/>
          <w:szCs w:val="24"/>
          <w:highlight w:val="yellow"/>
        </w:rPr>
        <w:t>2021年9月</w:t>
      </w:r>
      <w:r>
        <w:rPr>
          <w:rFonts w:hint="eastAsia" w:asciiTheme="majorEastAsia" w:hAnsiTheme="majorEastAsia" w:eastAsiaTheme="majorEastAsia"/>
          <w:sz w:val="24"/>
          <w:szCs w:val="24"/>
          <w:highlight w:val="yellow"/>
          <w:lang w:val="en-US" w:eastAsia="zh-CN"/>
        </w:rPr>
        <w:t>17</w:t>
      </w:r>
      <w:r>
        <w:rPr>
          <w:rFonts w:hint="eastAsia" w:asciiTheme="majorEastAsia" w:hAnsiTheme="majorEastAsia" w:eastAsiaTheme="majorEastAsia"/>
          <w:sz w:val="24"/>
          <w:szCs w:val="24"/>
          <w:highlight w:val="yellow"/>
        </w:rPr>
        <w:t>日9:30</w:t>
      </w:r>
      <w:r>
        <w:rPr>
          <w:rFonts w:hint="eastAsia" w:asciiTheme="majorEastAsia" w:hAnsiTheme="majorEastAsia" w:eastAsiaTheme="majorEastAsia"/>
          <w:sz w:val="24"/>
          <w:szCs w:val="24"/>
        </w:rPr>
        <w:t>（北京时间）</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八</w:t>
      </w:r>
      <w:r>
        <w:rPr>
          <w:rFonts w:asciiTheme="majorEastAsia" w:hAnsiTheme="majorEastAsia" w:eastAsiaTheme="majorEastAsia"/>
          <w:sz w:val="24"/>
          <w:szCs w:val="24"/>
        </w:rPr>
        <w:t>、</w:t>
      </w:r>
      <w:r>
        <w:rPr>
          <w:rFonts w:hint="eastAsia" w:asciiTheme="majorEastAsia" w:hAnsiTheme="majorEastAsia" w:eastAsiaTheme="majorEastAsia"/>
          <w:sz w:val="24"/>
          <w:szCs w:val="24"/>
        </w:rPr>
        <w:t>现场勘探：无</w:t>
      </w:r>
      <w:r>
        <w:rPr>
          <w:rFonts w:asciiTheme="majorEastAsia" w:hAnsiTheme="majorEastAsia" w:eastAsiaTheme="majorEastAsia"/>
          <w:sz w:val="24"/>
          <w:szCs w:val="24"/>
        </w:rPr>
        <w:t>。</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九、评标方法：综合评分法。</w:t>
      </w:r>
    </w:p>
    <w:p>
      <w:pPr>
        <w:snapToGrid w:val="0"/>
        <w:spacing w:line="30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十、项目交付地点:南通港码头码头管理有限公司（江苏省南通市通州区开沙岛开沙村东沙大道）</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十一、供货期限：</w:t>
      </w:r>
      <w:r>
        <w:rPr>
          <w:rFonts w:hint="eastAsia" w:asciiTheme="majorEastAsia" w:hAnsiTheme="majorEastAsia" w:eastAsiaTheme="majorEastAsia"/>
          <w:sz w:val="24"/>
          <w:szCs w:val="24"/>
          <w:u w:val="single"/>
        </w:rPr>
        <w:t>合同签订后接甲方通知30日历天交付。</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十二、联系方式、</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采购人：</w:t>
      </w:r>
      <w:r>
        <w:rPr>
          <w:rFonts w:hint="eastAsia" w:asciiTheme="majorEastAsia" w:hAnsiTheme="majorEastAsia" w:eastAsiaTheme="majorEastAsia"/>
          <w:sz w:val="24"/>
          <w:szCs w:val="24"/>
        </w:rPr>
        <w:t>南通港码头管理有限公司</w:t>
      </w:r>
    </w:p>
    <w:p>
      <w:pPr>
        <w:snapToGrid w:val="0"/>
        <w:spacing w:line="300" w:lineRule="auto"/>
        <w:ind w:firstLine="480" w:firstLineChars="200"/>
        <w:contextualSpacing/>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地  址：</w:t>
      </w:r>
      <w:r>
        <w:rPr>
          <w:rFonts w:hint="eastAsia" w:asciiTheme="majorEastAsia" w:hAnsiTheme="majorEastAsia" w:eastAsiaTheme="majorEastAsia"/>
          <w:sz w:val="24"/>
          <w:szCs w:val="24"/>
        </w:rPr>
        <w:t>江苏省南通市通州区开沙岛开沙村东沙大道</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联系人：印先生</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电 话：13862963916</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代理机构: 江苏天信建设项目咨询有限公司</w:t>
      </w:r>
    </w:p>
    <w:p>
      <w:pPr>
        <w:spacing w:line="360" w:lineRule="auto"/>
        <w:ind w:firstLine="480" w:firstLineChars="200"/>
        <w:rPr>
          <w:rFonts w:cs="宋体" w:asciiTheme="majorEastAsia" w:hAnsi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地 址：</w:t>
      </w:r>
      <w:r>
        <w:rPr>
          <w:rFonts w:hint="eastAsia" w:ascii="宋体" w:hAnsi="宋体"/>
          <w:sz w:val="24"/>
        </w:rPr>
        <w:t>南通市崇川区崇川路58号江海英才大厦4号楼8楼</w:t>
      </w:r>
    </w:p>
    <w:p>
      <w:pPr>
        <w:widowControl/>
        <w:shd w:val="clear" w:color="auto" w:fill="FFFFFF"/>
        <w:spacing w:line="360" w:lineRule="auto"/>
        <w:ind w:firstLine="480" w:firstLineChars="200"/>
        <w:jc w:val="left"/>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联系人：范女士</w:t>
      </w:r>
    </w:p>
    <w:p>
      <w:pPr>
        <w:widowControl/>
        <w:shd w:val="clear" w:color="auto" w:fill="FFFFFF"/>
        <w:spacing w:line="360" w:lineRule="auto"/>
        <w:ind w:firstLine="480" w:firstLineChars="200"/>
        <w:jc w:val="left"/>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电 话：19941606686</w:t>
      </w:r>
    </w:p>
    <w:p>
      <w:pPr>
        <w:adjustRightInd w:val="0"/>
        <w:snapToGrid w:val="0"/>
        <w:spacing w:line="360" w:lineRule="auto"/>
        <w:ind w:firstLine="482" w:firstLineChars="200"/>
        <w:rPr>
          <w:b/>
          <w:sz w:val="24"/>
        </w:rPr>
      </w:pPr>
      <w:r>
        <w:rPr>
          <w:rFonts w:hint="eastAsia"/>
          <w:b/>
          <w:sz w:val="24"/>
        </w:rPr>
        <w:t>十三、其他</w:t>
      </w:r>
    </w:p>
    <w:p>
      <w:pPr>
        <w:widowControl/>
        <w:adjustRightInd w:val="0"/>
        <w:snapToGrid w:val="0"/>
        <w:spacing w:line="360" w:lineRule="auto"/>
        <w:ind w:firstLine="480" w:firstLineChars="200"/>
        <w:jc w:val="left"/>
        <w:rPr>
          <w:rFonts w:ascii="宋体" w:hAnsi="宋体"/>
          <w:bCs/>
          <w:sz w:val="24"/>
        </w:rPr>
      </w:pPr>
      <w:r>
        <w:rPr>
          <w:rFonts w:hint="eastAsia" w:ascii="宋体" w:hAnsi="宋体"/>
          <w:bCs/>
          <w:sz w:val="24"/>
        </w:rPr>
        <w:t>1.潜在供应商对资格要求、项目参数需求的询问、质疑请向采购人提出；对招标文件的询问、质疑请向采购代理人提出，由采购代理人负责答复。</w:t>
      </w:r>
    </w:p>
    <w:p>
      <w:pPr>
        <w:widowControl/>
        <w:adjustRightInd w:val="0"/>
        <w:snapToGrid w:val="0"/>
        <w:spacing w:line="360" w:lineRule="auto"/>
        <w:ind w:firstLine="480" w:firstLineChars="200"/>
        <w:jc w:val="left"/>
        <w:rPr>
          <w:rFonts w:ascii="宋体" w:hAnsi="宋体"/>
          <w:b/>
          <w:bCs/>
          <w:sz w:val="24"/>
        </w:rPr>
      </w:pPr>
      <w:r>
        <w:rPr>
          <w:rFonts w:hint="eastAsia" w:ascii="宋体" w:hAnsi="宋体"/>
          <w:bCs/>
          <w:sz w:val="24"/>
        </w:rPr>
        <w:t>2.响应文件制作份数要求：</w:t>
      </w:r>
      <w:r>
        <w:rPr>
          <w:rFonts w:hint="eastAsia" w:ascii="宋体" w:hAnsi="宋体"/>
          <w:b/>
          <w:sz w:val="24"/>
        </w:rPr>
        <w:t>正本份数：1份  ， 副本份数：2份</w:t>
      </w:r>
    </w:p>
    <w:p>
      <w:pPr>
        <w:adjustRightInd w:val="0"/>
        <w:snapToGrid w:val="0"/>
        <w:spacing w:line="360" w:lineRule="auto"/>
        <w:ind w:firstLine="480" w:firstLineChars="200"/>
        <w:rPr>
          <w:rFonts w:ascii="宋体" w:hAnsi="宋体"/>
          <w:sz w:val="24"/>
        </w:rPr>
      </w:pPr>
      <w:r>
        <w:rPr>
          <w:rFonts w:hint="eastAsia" w:ascii="宋体" w:hAnsi="宋体"/>
          <w:sz w:val="24"/>
        </w:rPr>
        <w:t>3. 有关本次采购的事项若存在变动或修改，敬请及时关注“</w:t>
      </w:r>
      <w:r>
        <w:rPr>
          <w:rFonts w:hint="eastAsia" w:asciiTheme="majorEastAsia" w:hAnsiTheme="majorEastAsia" w:eastAsiaTheme="majorEastAsia"/>
          <w:sz w:val="24"/>
          <w:szCs w:val="24"/>
        </w:rPr>
        <w:t>南通市公共资源交易网http://ggzyjy.nantong.gov.cn/jyxx/tradeInfo.html、南通港口集团有限公司http://www.ntport.com.cn/?ivk_sa=1024320u</w:t>
      </w:r>
      <w:r>
        <w:rPr>
          <w:rFonts w:hint="eastAsia" w:ascii="宋体" w:hAnsi="宋体"/>
          <w:sz w:val="24"/>
        </w:rPr>
        <w:t>”发布的更正公告。</w:t>
      </w:r>
    </w:p>
    <w:p>
      <w:pPr>
        <w:adjustRightInd w:val="0"/>
        <w:snapToGrid w:val="0"/>
        <w:spacing w:line="360" w:lineRule="auto"/>
        <w:ind w:firstLine="480" w:firstLineChars="200"/>
      </w:pPr>
      <w:r>
        <w:rPr>
          <w:rFonts w:hint="eastAsia" w:ascii="宋体" w:hAnsi="宋体"/>
          <w:sz w:val="24"/>
        </w:rPr>
        <w:t>4.采购文件费每套300元（递交标书时交付给代理人）</w:t>
      </w:r>
    </w:p>
    <w:bookmarkEnd w:id="0"/>
    <w:bookmarkEnd w:id="6"/>
    <w:bookmarkEnd w:id="7"/>
    <w:bookmarkEnd w:id="8"/>
    <w:bookmarkEnd w:id="9"/>
    <w:bookmarkEnd w:id="10"/>
    <w:bookmarkEnd w:id="11"/>
    <w:bookmarkEnd w:id="12"/>
    <w:bookmarkEnd w:id="13"/>
    <w:bookmarkEnd w:id="14"/>
    <w:bookmarkEnd w:id="15"/>
    <w:bookmarkEnd w:id="16"/>
    <w:bookmarkEnd w:id="17"/>
    <w:bookmarkEnd w:id="18"/>
    <w:p>
      <w:pPr>
        <w:pStyle w:val="5"/>
        <w:spacing w:line="360" w:lineRule="auto"/>
        <w:jc w:val="center"/>
        <w:rPr>
          <w:rFonts w:asciiTheme="majorEastAsia" w:hAnsiTheme="majorEastAsia" w:eastAsiaTheme="majorEastAsia"/>
          <w:sz w:val="36"/>
          <w:szCs w:val="36"/>
        </w:rPr>
        <w:sectPr>
          <w:footerReference r:id="rId6" w:type="default"/>
          <w:pgSz w:w="11906" w:h="16838"/>
          <w:pgMar w:top="1418" w:right="1588" w:bottom="1418" w:left="1588" w:header="851" w:footer="992" w:gutter="0"/>
          <w:pgNumType w:start="1"/>
          <w:cols w:space="720" w:num="1"/>
          <w:docGrid w:linePitch="312" w:charSpace="0"/>
        </w:sectPr>
      </w:pPr>
      <w:bookmarkStart w:id="40" w:name="_Toc120614211"/>
    </w:p>
    <w:p>
      <w:pPr>
        <w:pStyle w:val="5"/>
        <w:spacing w:line="360" w:lineRule="auto"/>
        <w:jc w:val="center"/>
        <w:rPr>
          <w:rFonts w:asciiTheme="majorEastAsia" w:hAnsiTheme="majorEastAsia" w:eastAsiaTheme="majorEastAsia"/>
          <w:b w:val="0"/>
          <w:bCs/>
          <w:sz w:val="36"/>
          <w:szCs w:val="36"/>
        </w:rPr>
      </w:pPr>
      <w:r>
        <w:rPr>
          <w:rFonts w:hint="eastAsia" w:asciiTheme="majorEastAsia" w:hAnsiTheme="majorEastAsia" w:eastAsiaTheme="majorEastAsia"/>
          <w:sz w:val="36"/>
          <w:szCs w:val="36"/>
        </w:rPr>
        <w:t xml:space="preserve">第二章  </w:t>
      </w:r>
      <w:bookmarkEnd w:id="1"/>
      <w:bookmarkEnd w:id="2"/>
      <w:bookmarkEnd w:id="3"/>
      <w:bookmarkEnd w:id="4"/>
      <w:bookmarkEnd w:id="5"/>
      <w:bookmarkEnd w:id="40"/>
      <w:bookmarkStart w:id="41" w:name="_Toc16938518"/>
      <w:bookmarkStart w:id="42" w:name="_Toc513029202"/>
      <w:bookmarkStart w:id="43" w:name="_Toc20823274"/>
      <w:bookmarkStart w:id="44" w:name="_Toc120614213"/>
      <w:r>
        <w:rPr>
          <w:rFonts w:hint="eastAsia" w:asciiTheme="majorEastAsia" w:hAnsiTheme="majorEastAsia" w:eastAsiaTheme="majorEastAsia"/>
          <w:sz w:val="36"/>
          <w:szCs w:val="36"/>
        </w:rPr>
        <w:t>投标人须知</w:t>
      </w:r>
      <w:bookmarkEnd w:id="41"/>
      <w:bookmarkEnd w:id="42"/>
      <w:bookmarkEnd w:id="43"/>
      <w:bookmarkEnd w:id="44"/>
    </w:p>
    <w:p>
      <w:pPr>
        <w:pStyle w:val="6"/>
        <w:spacing w:beforeLines="50" w:afterLines="50" w:line="360" w:lineRule="auto"/>
        <w:ind w:firstLine="405" w:firstLineChars="155"/>
        <w:jc w:val="center"/>
        <w:rPr>
          <w:rFonts w:asciiTheme="majorEastAsia" w:hAnsiTheme="majorEastAsia" w:eastAsiaTheme="majorEastAsia"/>
        </w:rPr>
      </w:pPr>
      <w:bookmarkStart w:id="45" w:name="_Toc16938519"/>
      <w:bookmarkStart w:id="46" w:name="_Toc120614214"/>
      <w:bookmarkStart w:id="47" w:name="_Toc513029203"/>
      <w:bookmarkStart w:id="48" w:name="_Toc20823275"/>
      <w:r>
        <w:rPr>
          <w:rFonts w:hint="eastAsia" w:asciiTheme="majorEastAsia" w:hAnsiTheme="majorEastAsia" w:eastAsiaTheme="majorEastAsia"/>
        </w:rPr>
        <w:t>一、总则</w:t>
      </w:r>
      <w:bookmarkEnd w:id="45"/>
      <w:bookmarkEnd w:id="46"/>
      <w:bookmarkEnd w:id="47"/>
      <w:bookmarkEnd w:id="48"/>
    </w:p>
    <w:p>
      <w:pPr>
        <w:pStyle w:val="7"/>
        <w:spacing w:before="0" w:after="0" w:line="240" w:lineRule="auto"/>
        <w:ind w:firstLine="420" w:firstLineChars="150"/>
        <w:rPr>
          <w:rFonts w:ascii="宋体" w:hAnsi="宋体" w:eastAsia="宋体"/>
          <w:b w:val="0"/>
          <w:bCs w:val="0"/>
        </w:rPr>
      </w:pPr>
      <w:bookmarkStart w:id="49" w:name="_Hlt16619475"/>
      <w:bookmarkEnd w:id="49"/>
      <w:bookmarkStart w:id="50" w:name="_Toc458694821"/>
      <w:bookmarkStart w:id="51" w:name="_Toc20823276"/>
      <w:bookmarkStart w:id="52" w:name="_Toc513029204"/>
      <w:bookmarkStart w:id="53" w:name="_Toc16938520"/>
      <w:r>
        <w:rPr>
          <w:rFonts w:hint="eastAsia" w:ascii="宋体" w:hAnsi="宋体" w:eastAsia="宋体"/>
          <w:b w:val="0"/>
          <w:bCs w:val="0"/>
        </w:rPr>
        <w:t>1</w:t>
      </w:r>
      <w:bookmarkEnd w:id="50"/>
      <w:r>
        <w:rPr>
          <w:rFonts w:hint="eastAsia" w:ascii="宋体" w:hAnsi="宋体" w:eastAsia="宋体"/>
          <w:b w:val="0"/>
          <w:bCs w:val="0"/>
        </w:rPr>
        <w:t>、招标方式</w:t>
      </w:r>
      <w:bookmarkEnd w:id="51"/>
      <w:bookmarkEnd w:id="52"/>
      <w:bookmarkEnd w:id="53"/>
    </w:p>
    <w:p>
      <w:pPr>
        <w:spacing w:line="500" w:lineRule="exact"/>
        <w:ind w:firstLine="480" w:firstLineChars="200"/>
        <w:rPr>
          <w:rFonts w:ascii="宋体" w:hAnsi="宋体"/>
          <w:sz w:val="24"/>
        </w:rPr>
      </w:pPr>
      <w:r>
        <w:rPr>
          <w:rFonts w:hint="eastAsia" w:ascii="宋体" w:hAnsi="宋体"/>
          <w:sz w:val="24"/>
        </w:rPr>
        <w:t>1.1 本次招标采取公开招标方式，本招标文件仅适用于招标公告中所述项目。</w:t>
      </w:r>
    </w:p>
    <w:p>
      <w:pPr>
        <w:pStyle w:val="7"/>
        <w:spacing w:before="0" w:after="0" w:line="240" w:lineRule="auto"/>
        <w:ind w:firstLine="420" w:firstLineChars="150"/>
        <w:rPr>
          <w:rFonts w:ascii="宋体" w:hAnsi="宋体" w:eastAsia="宋体"/>
          <w:b w:val="0"/>
          <w:bCs w:val="0"/>
        </w:rPr>
      </w:pPr>
      <w:bookmarkStart w:id="54" w:name="_Toc513029205"/>
      <w:bookmarkStart w:id="55" w:name="_Toc20823277"/>
      <w:bookmarkStart w:id="56" w:name="_Toc16938521"/>
      <w:r>
        <w:rPr>
          <w:rFonts w:hint="eastAsia" w:ascii="宋体" w:hAnsi="宋体" w:eastAsia="宋体"/>
          <w:b w:val="0"/>
          <w:bCs w:val="0"/>
        </w:rPr>
        <w:t>2、合格的投标人</w:t>
      </w:r>
      <w:bookmarkEnd w:id="54"/>
      <w:bookmarkEnd w:id="55"/>
      <w:bookmarkEnd w:id="56"/>
    </w:p>
    <w:p>
      <w:pPr>
        <w:spacing w:line="400" w:lineRule="exact"/>
        <w:ind w:firstLine="480" w:firstLineChars="200"/>
        <w:rPr>
          <w:rFonts w:ascii="宋体" w:hAnsi="宋体"/>
          <w:sz w:val="24"/>
          <w:szCs w:val="24"/>
        </w:rPr>
      </w:pPr>
      <w:r>
        <w:rPr>
          <w:rFonts w:hint="eastAsia" w:ascii="宋体" w:hAnsi="宋体"/>
          <w:sz w:val="24"/>
          <w:szCs w:val="24"/>
        </w:rPr>
        <w:t>2.1满足招标公告中供应商的资格要求的规定。</w:t>
      </w:r>
    </w:p>
    <w:p>
      <w:pPr>
        <w:spacing w:line="400" w:lineRule="exact"/>
        <w:ind w:firstLine="480" w:firstLineChars="200"/>
        <w:rPr>
          <w:rFonts w:ascii="宋体" w:hAnsi="宋体"/>
          <w:sz w:val="24"/>
          <w:szCs w:val="24"/>
        </w:rPr>
      </w:pPr>
      <w:r>
        <w:rPr>
          <w:rFonts w:hint="eastAsia" w:ascii="宋体" w:hAnsi="宋体"/>
          <w:sz w:val="24"/>
          <w:szCs w:val="24"/>
        </w:rPr>
        <w:t>2.2 满足本文件实质性条款的规定。</w:t>
      </w:r>
    </w:p>
    <w:p>
      <w:pPr>
        <w:spacing w:line="400" w:lineRule="exact"/>
        <w:ind w:firstLine="480" w:firstLineChars="200"/>
        <w:rPr>
          <w:rFonts w:ascii="宋体" w:hAnsi="宋体"/>
          <w:sz w:val="24"/>
          <w:szCs w:val="24"/>
        </w:rPr>
      </w:pPr>
      <w:r>
        <w:rPr>
          <w:rFonts w:hint="eastAsia" w:ascii="宋体" w:hAnsi="宋体"/>
          <w:sz w:val="24"/>
          <w:szCs w:val="24"/>
        </w:rPr>
        <w:t>2.3至投标截止时间节点</w:t>
      </w:r>
      <w:bookmarkStart w:id="57" w:name="_Toc513029206"/>
      <w:bookmarkStart w:id="58" w:name="_Toc16938522"/>
      <w:bookmarkStart w:id="59" w:name="_Toc20823278"/>
      <w:r>
        <w:rPr>
          <w:rFonts w:hint="eastAsia" w:ascii="宋体" w:hAnsi="宋体"/>
          <w:sz w:val="24"/>
          <w:szCs w:val="24"/>
        </w:rPr>
        <w:t>未被“信用中国”网站(</w:t>
      </w:r>
      <w:r>
        <w:fldChar w:fldCharType="begin"/>
      </w:r>
      <w:r>
        <w:instrText xml:space="preserve"> HYPERLINK "http://www.creditchina.gov.cn" </w:instrText>
      </w:r>
      <w:r>
        <w:fldChar w:fldCharType="separate"/>
      </w:r>
      <w:r>
        <w:rPr>
          <w:rStyle w:val="64"/>
          <w:rFonts w:hint="eastAsia" w:ascii="宋体" w:hAnsi="宋体"/>
          <w:color w:val="auto"/>
          <w:sz w:val="24"/>
          <w:szCs w:val="24"/>
        </w:rPr>
        <w:t>www.creditchina.gov.cn</w:t>
      </w:r>
      <w:r>
        <w:rPr>
          <w:rStyle w:val="64"/>
          <w:rFonts w:hint="eastAsia" w:ascii="宋体" w:hAnsi="宋体"/>
          <w:color w:val="auto"/>
          <w:sz w:val="24"/>
          <w:szCs w:val="24"/>
        </w:rPr>
        <w:fldChar w:fldCharType="end"/>
      </w:r>
      <w:r>
        <w:rPr>
          <w:rFonts w:hint="eastAsia" w:ascii="宋体" w:hAnsi="宋体"/>
          <w:sz w:val="24"/>
          <w:szCs w:val="24"/>
        </w:rPr>
        <w:t>)、中华人民</w:t>
      </w:r>
      <w:r>
        <w:rPr>
          <w:rFonts w:ascii="宋体" w:hAnsi="宋体"/>
          <w:sz w:val="24"/>
          <w:szCs w:val="24"/>
        </w:rPr>
        <w:t>共和国</w:t>
      </w:r>
      <w:r>
        <w:rPr>
          <w:rFonts w:hint="eastAsia" w:ascii="宋体" w:hAnsi="宋体"/>
          <w:sz w:val="24"/>
          <w:szCs w:val="24"/>
        </w:rPr>
        <w:t>最高人民法院网站</w:t>
      </w:r>
      <w:r>
        <w:rPr>
          <w:rFonts w:ascii="宋体" w:hAnsi="宋体"/>
          <w:sz w:val="24"/>
          <w:szCs w:val="24"/>
        </w:rPr>
        <w:t>（</w:t>
      </w:r>
      <w:r>
        <w:fldChar w:fldCharType="begin"/>
      </w:r>
      <w:r>
        <w:instrText xml:space="preserve"> HYPERLINK "http://www.court.gov.cn/" </w:instrText>
      </w:r>
      <w:r>
        <w:fldChar w:fldCharType="separate"/>
      </w:r>
      <w:r>
        <w:rPr>
          <w:rStyle w:val="64"/>
          <w:rFonts w:ascii="宋体" w:hAnsi="宋体"/>
          <w:color w:val="auto"/>
          <w:sz w:val="24"/>
          <w:szCs w:val="24"/>
        </w:rPr>
        <w:t>http://www.court.gov.cn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等渠道列入信用记录失信被执行人，未被中国政府采购网(</w:t>
      </w:r>
      <w:r>
        <w:fldChar w:fldCharType="begin"/>
      </w:r>
      <w:r>
        <w:instrText xml:space="preserve"> HYPERLINK "http://www.ccgp.gov.cn" </w:instrText>
      </w:r>
      <w:r>
        <w:fldChar w:fldCharType="separate"/>
      </w:r>
      <w:r>
        <w:rPr>
          <w:rStyle w:val="64"/>
          <w:rFonts w:hint="eastAsia" w:ascii="宋体" w:hAnsi="宋体"/>
          <w:color w:val="auto"/>
          <w:sz w:val="24"/>
          <w:szCs w:val="24"/>
        </w:rPr>
        <w:t>www.ccgp.gov.cn</w:t>
      </w:r>
      <w:r>
        <w:rPr>
          <w:rStyle w:val="64"/>
          <w:rFonts w:hint="eastAsia" w:ascii="宋体" w:hAnsi="宋体"/>
          <w:color w:val="auto"/>
          <w:sz w:val="24"/>
          <w:szCs w:val="24"/>
        </w:rPr>
        <w:fldChar w:fldCharType="end"/>
      </w:r>
      <w:r>
        <w:rPr>
          <w:rFonts w:hint="eastAsia" w:ascii="宋体" w:hAnsi="宋体"/>
          <w:sz w:val="24"/>
          <w:szCs w:val="24"/>
        </w:rPr>
        <w:t>)等渠道列入政府采购严重违法失信行为记录名单，未被中华人民共和国应急管理部网站</w:t>
      </w:r>
      <w:r>
        <w:rPr>
          <w:rFonts w:ascii="宋体" w:hAnsi="宋体"/>
          <w:sz w:val="24"/>
          <w:szCs w:val="24"/>
        </w:rPr>
        <w:t>（</w:t>
      </w:r>
      <w:r>
        <w:fldChar w:fldCharType="begin"/>
      </w:r>
      <w:r>
        <w:instrText xml:space="preserve"> HYPERLINK "http://www.chinasafety.gov.cn/" </w:instrText>
      </w:r>
      <w:r>
        <w:fldChar w:fldCharType="separate"/>
      </w:r>
      <w:r>
        <w:rPr>
          <w:rStyle w:val="64"/>
          <w:rFonts w:ascii="宋体" w:hAnsi="宋体"/>
          <w:color w:val="auto"/>
          <w:sz w:val="24"/>
          <w:szCs w:val="24"/>
        </w:rPr>
        <w:t>http://www.chinasafety.gov.cn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等渠道列入</w:t>
      </w:r>
      <w:r>
        <w:rPr>
          <w:rFonts w:ascii="宋体" w:hAnsi="宋体"/>
          <w:sz w:val="24"/>
          <w:szCs w:val="24"/>
        </w:rPr>
        <w:t>安全生产失信联合惩戒“</w:t>
      </w:r>
      <w:r>
        <w:rPr>
          <w:rFonts w:hint="eastAsia" w:ascii="宋体" w:hAnsi="宋体"/>
          <w:sz w:val="24"/>
          <w:szCs w:val="24"/>
        </w:rPr>
        <w:t>黑名单</w:t>
      </w:r>
      <w:r>
        <w:rPr>
          <w:rFonts w:ascii="宋体" w:hAnsi="宋体"/>
          <w:sz w:val="24"/>
          <w:szCs w:val="24"/>
        </w:rPr>
        <w:t>”</w:t>
      </w:r>
      <w:r>
        <w:rPr>
          <w:rFonts w:hint="eastAsia" w:ascii="宋体" w:hAnsi="宋体"/>
          <w:sz w:val="24"/>
          <w:szCs w:val="24"/>
        </w:rPr>
        <w:t>， 未被国家税务总局</w:t>
      </w:r>
      <w:r>
        <w:rPr>
          <w:rFonts w:ascii="宋体" w:hAnsi="宋体"/>
          <w:sz w:val="24"/>
          <w:szCs w:val="24"/>
        </w:rPr>
        <w:t>网站（</w:t>
      </w:r>
      <w:r>
        <w:fldChar w:fldCharType="begin"/>
      </w:r>
      <w:r>
        <w:instrText xml:space="preserve"> HYPERLINK "http://hd.chinatax.gov.cn/xxk/" </w:instrText>
      </w:r>
      <w:r>
        <w:fldChar w:fldCharType="separate"/>
      </w:r>
      <w:r>
        <w:rPr>
          <w:rStyle w:val="64"/>
          <w:rFonts w:ascii="宋体" w:hAnsi="宋体"/>
          <w:color w:val="auto"/>
          <w:sz w:val="24"/>
          <w:szCs w:val="24"/>
        </w:rPr>
        <w:t>http://hd.chinatax.gov.cn/xxk</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w:t>
      </w:r>
      <w:r>
        <w:rPr>
          <w:rFonts w:ascii="宋体" w:hAnsi="宋体"/>
          <w:sz w:val="24"/>
          <w:szCs w:val="24"/>
        </w:rPr>
        <w:t>列入</w:t>
      </w:r>
      <w:r>
        <w:rPr>
          <w:rFonts w:hint="eastAsia" w:ascii="宋体" w:hAnsi="宋体"/>
          <w:sz w:val="24"/>
          <w:szCs w:val="24"/>
        </w:rPr>
        <w:t>重大税收违法案件当事人名单，未被国家企业</w:t>
      </w:r>
      <w:r>
        <w:rPr>
          <w:rFonts w:ascii="宋体" w:hAnsi="宋体"/>
          <w:sz w:val="24"/>
          <w:szCs w:val="24"/>
        </w:rPr>
        <w:t>信用信息公示系统（</w:t>
      </w:r>
      <w:r>
        <w:fldChar w:fldCharType="begin"/>
      </w:r>
      <w:r>
        <w:instrText xml:space="preserve"> HYPERLINK "http://www.gsxt.gov.cn" </w:instrText>
      </w:r>
      <w:r>
        <w:fldChar w:fldCharType="separate"/>
      </w:r>
      <w:r>
        <w:rPr>
          <w:rStyle w:val="64"/>
          <w:rFonts w:ascii="宋体" w:hAnsi="宋体"/>
          <w:color w:val="auto"/>
          <w:sz w:val="24"/>
          <w:szCs w:val="24"/>
        </w:rPr>
        <w:t>http://www.gsxt.gov.cn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w:t>
      </w:r>
      <w:r>
        <w:rPr>
          <w:rFonts w:ascii="宋体" w:hAnsi="宋体"/>
          <w:sz w:val="24"/>
          <w:szCs w:val="24"/>
        </w:rPr>
        <w:t>列入</w:t>
      </w:r>
      <w:r>
        <w:rPr>
          <w:rFonts w:hint="eastAsia" w:ascii="宋体" w:hAnsi="宋体"/>
          <w:sz w:val="24"/>
          <w:szCs w:val="24"/>
        </w:rPr>
        <w:t>经营异常名录、严重违法</w:t>
      </w:r>
      <w:r>
        <w:rPr>
          <w:rFonts w:ascii="宋体" w:hAnsi="宋体"/>
          <w:sz w:val="24"/>
          <w:szCs w:val="24"/>
        </w:rPr>
        <w:t>失信企业名单</w:t>
      </w:r>
      <w:r>
        <w:rPr>
          <w:rFonts w:hint="eastAsia" w:ascii="宋体" w:hAnsi="宋体"/>
          <w:sz w:val="24"/>
          <w:szCs w:val="24"/>
        </w:rPr>
        <w:t>，未被</w:t>
      </w:r>
      <w:r>
        <w:rPr>
          <w:rFonts w:ascii="宋体" w:hAnsi="宋体"/>
          <w:sz w:val="24"/>
          <w:szCs w:val="24"/>
        </w:rPr>
        <w:t>全国公共资源交易平台（</w:t>
      </w:r>
      <w:r>
        <w:fldChar w:fldCharType="begin"/>
      </w:r>
      <w:r>
        <w:instrText xml:space="preserve"> HYPERLINK "http://www.ggzy.gov.cn" </w:instrText>
      </w:r>
      <w:r>
        <w:fldChar w:fldCharType="separate"/>
      </w:r>
      <w:r>
        <w:rPr>
          <w:rStyle w:val="64"/>
          <w:rFonts w:ascii="宋体" w:hAnsi="宋体"/>
          <w:color w:val="auto"/>
          <w:sz w:val="24"/>
          <w:szCs w:val="24"/>
        </w:rPr>
        <w:t>http://www.ggzy.gov.cn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w:t>
      </w:r>
      <w:r>
        <w:rPr>
          <w:rFonts w:ascii="宋体" w:hAnsi="宋体"/>
          <w:sz w:val="24"/>
          <w:szCs w:val="24"/>
        </w:rPr>
        <w:t>列入</w:t>
      </w:r>
      <w:r>
        <w:rPr>
          <w:rFonts w:hint="eastAsia" w:ascii="宋体" w:hAnsi="宋体"/>
          <w:sz w:val="24"/>
          <w:szCs w:val="24"/>
        </w:rPr>
        <w:t>黑名单；</w:t>
      </w:r>
    </w:p>
    <w:p>
      <w:pPr>
        <w:spacing w:line="400" w:lineRule="exact"/>
        <w:ind w:firstLine="280" w:firstLineChars="100"/>
        <w:rPr>
          <w:rFonts w:ascii="宋体" w:hAnsi="宋体"/>
          <w:sz w:val="28"/>
          <w:szCs w:val="28"/>
        </w:rPr>
      </w:pPr>
      <w:r>
        <w:rPr>
          <w:rFonts w:hint="eastAsia" w:ascii="宋体" w:hAnsi="宋体"/>
          <w:sz w:val="28"/>
          <w:szCs w:val="28"/>
        </w:rPr>
        <w:t>3、适用法律</w:t>
      </w:r>
      <w:bookmarkEnd w:id="57"/>
      <w:bookmarkEnd w:id="58"/>
      <w:bookmarkEnd w:id="59"/>
    </w:p>
    <w:p>
      <w:pPr>
        <w:spacing w:line="400" w:lineRule="exact"/>
        <w:ind w:firstLine="420" w:firstLineChars="175"/>
        <w:rPr>
          <w:rFonts w:ascii="宋体" w:hAnsi="宋体"/>
          <w:sz w:val="24"/>
        </w:rPr>
      </w:pPr>
      <w:r>
        <w:rPr>
          <w:rFonts w:hint="eastAsia" w:ascii="宋体" w:hAnsi="宋体"/>
          <w:sz w:val="24"/>
        </w:rPr>
        <w:t>3.1 本次招标及由此产生的合同受中华人民共和国有关的法律法规制约和保护</w:t>
      </w:r>
      <w:r>
        <w:rPr>
          <w:rFonts w:ascii="宋体" w:hAnsi="宋体"/>
          <w:sz w:val="24"/>
        </w:rPr>
        <w:t>。</w:t>
      </w:r>
    </w:p>
    <w:p>
      <w:pPr>
        <w:pStyle w:val="7"/>
        <w:spacing w:before="0" w:after="0" w:line="240" w:lineRule="auto"/>
        <w:ind w:firstLine="280" w:firstLineChars="100"/>
        <w:rPr>
          <w:rFonts w:ascii="宋体" w:hAnsi="宋体" w:eastAsia="宋体"/>
          <w:b w:val="0"/>
          <w:bCs w:val="0"/>
        </w:rPr>
      </w:pPr>
      <w:bookmarkStart w:id="60" w:name="_Toc462564067"/>
      <w:bookmarkStart w:id="61" w:name="_Toc20823279"/>
      <w:bookmarkStart w:id="62" w:name="_Toc513029207"/>
      <w:bookmarkStart w:id="63" w:name="_Toc16938523"/>
      <w:r>
        <w:rPr>
          <w:rFonts w:hint="eastAsia" w:ascii="宋体" w:hAnsi="宋体" w:eastAsia="宋体"/>
          <w:b w:val="0"/>
          <w:bCs w:val="0"/>
        </w:rPr>
        <w:t>4、投标费用</w:t>
      </w:r>
      <w:bookmarkEnd w:id="60"/>
      <w:bookmarkEnd w:id="61"/>
      <w:bookmarkEnd w:id="62"/>
      <w:bookmarkEnd w:id="63"/>
    </w:p>
    <w:p>
      <w:pPr>
        <w:spacing w:line="500" w:lineRule="exact"/>
        <w:ind w:firstLine="480" w:firstLineChars="200"/>
      </w:pPr>
      <w:r>
        <w:rPr>
          <w:rFonts w:hint="eastAsia" w:ascii="宋体" w:hAnsi="宋体"/>
          <w:bCs/>
          <w:sz w:val="24"/>
        </w:rPr>
        <w:t>4.1</w:t>
      </w:r>
      <w:r>
        <w:rPr>
          <w:rFonts w:hint="eastAsia" w:ascii="宋体" w:hAnsi="宋体"/>
          <w:sz w:val="24"/>
        </w:rPr>
        <w:t xml:space="preserve"> 投标人应自行承担所有与参加投标有关的费用，无论投标过程中的做法和结果如何，本采购人在任何情况下均无义务和责任承担这些费用。</w:t>
      </w:r>
    </w:p>
    <w:p>
      <w:pPr>
        <w:pStyle w:val="7"/>
        <w:spacing w:before="0" w:after="0" w:line="240" w:lineRule="auto"/>
        <w:ind w:firstLine="280" w:firstLineChars="100"/>
        <w:rPr>
          <w:rFonts w:ascii="宋体" w:hAnsi="宋体" w:eastAsia="宋体"/>
          <w:b w:val="0"/>
          <w:bCs w:val="0"/>
        </w:rPr>
      </w:pPr>
      <w:r>
        <w:rPr>
          <w:rFonts w:hint="eastAsia" w:ascii="宋体" w:hAnsi="宋体" w:eastAsia="宋体"/>
          <w:b w:val="0"/>
          <w:bCs w:val="0"/>
        </w:rPr>
        <w:t>5、招标文件的约束力</w:t>
      </w:r>
    </w:p>
    <w:p>
      <w:pPr>
        <w:spacing w:line="480" w:lineRule="exact"/>
        <w:ind w:firstLine="480" w:firstLineChars="200"/>
        <w:rPr>
          <w:rFonts w:ascii="宋体" w:hAnsi="宋体"/>
          <w:sz w:val="24"/>
          <w:szCs w:val="24"/>
        </w:rPr>
      </w:pPr>
      <w:r>
        <w:rPr>
          <w:rFonts w:hint="eastAsia" w:ascii="宋体" w:hAnsi="宋体"/>
          <w:bCs/>
          <w:sz w:val="24"/>
          <w:szCs w:val="24"/>
        </w:rPr>
        <w:t>5.1</w:t>
      </w:r>
      <w:r>
        <w:rPr>
          <w:rFonts w:hint="eastAsia" w:ascii="宋体" w:hAnsi="宋体"/>
          <w:sz w:val="24"/>
          <w:szCs w:val="24"/>
        </w:rPr>
        <w:t xml:space="preserve"> 投标人一旦参加本项目采购活动，即被认为接受了本招标文件的规定和约束并且视为自招标公告期限届满之日起知道或应当知道自身权益是否收到了损害。</w:t>
      </w:r>
    </w:p>
    <w:p>
      <w:pPr>
        <w:pStyle w:val="2"/>
        <w:ind w:firstLine="480" w:firstLineChars="200"/>
      </w:pPr>
      <w:r>
        <w:rPr>
          <w:rFonts w:hint="eastAsia" w:ascii="宋体" w:hAnsi="宋体" w:eastAsia="宋体"/>
          <w:sz w:val="24"/>
          <w:szCs w:val="24"/>
        </w:rPr>
        <w:t>5.2因采购人需求发生变化，采购人有权取消项目采购，对此采购人不承担任何责任。</w:t>
      </w:r>
    </w:p>
    <w:p>
      <w:pPr>
        <w:pStyle w:val="6"/>
        <w:spacing w:beforeLines="50" w:afterLines="50" w:line="360" w:lineRule="auto"/>
        <w:ind w:firstLine="261" w:firstLineChars="100"/>
        <w:jc w:val="center"/>
        <w:rPr>
          <w:rFonts w:ascii="宋体" w:hAnsi="宋体" w:eastAsia="宋体"/>
        </w:rPr>
      </w:pPr>
      <w:bookmarkStart w:id="64" w:name="_Toc120614215"/>
      <w:bookmarkStart w:id="65" w:name="_Toc20823281"/>
      <w:bookmarkStart w:id="66" w:name="_Toc513029209"/>
      <w:bookmarkStart w:id="67" w:name="_Toc16938525"/>
      <w:r>
        <w:rPr>
          <w:rFonts w:hint="eastAsia" w:ascii="宋体" w:hAnsi="宋体" w:eastAsia="宋体"/>
        </w:rPr>
        <w:t>二、招标文件</w:t>
      </w:r>
      <w:bookmarkEnd w:id="64"/>
      <w:bookmarkEnd w:id="65"/>
      <w:bookmarkEnd w:id="66"/>
      <w:bookmarkEnd w:id="67"/>
    </w:p>
    <w:p>
      <w:pPr>
        <w:pStyle w:val="7"/>
        <w:spacing w:before="0" w:after="0" w:line="360" w:lineRule="auto"/>
        <w:ind w:firstLine="420" w:firstLineChars="150"/>
        <w:rPr>
          <w:rFonts w:ascii="宋体" w:hAnsi="宋体" w:eastAsia="宋体"/>
          <w:b w:val="0"/>
          <w:bCs w:val="0"/>
        </w:rPr>
      </w:pPr>
      <w:bookmarkStart w:id="68" w:name="_Toc20823282"/>
      <w:bookmarkStart w:id="69" w:name="_Toc16938526"/>
      <w:bookmarkStart w:id="70" w:name="_Toc513029210"/>
      <w:r>
        <w:rPr>
          <w:rFonts w:hint="eastAsia" w:ascii="宋体" w:hAnsi="宋体" w:eastAsia="宋体"/>
          <w:b w:val="0"/>
          <w:bCs w:val="0"/>
        </w:rPr>
        <w:t>6、招标文件构成</w:t>
      </w:r>
      <w:bookmarkEnd w:id="68"/>
      <w:bookmarkEnd w:id="69"/>
      <w:bookmarkEnd w:id="70"/>
    </w:p>
    <w:p>
      <w:pPr>
        <w:spacing w:line="360" w:lineRule="auto"/>
        <w:ind w:firstLine="480" w:firstLineChars="200"/>
        <w:rPr>
          <w:rFonts w:ascii="宋体" w:hAnsi="宋体"/>
          <w:sz w:val="24"/>
        </w:rPr>
      </w:pPr>
      <w:r>
        <w:rPr>
          <w:rFonts w:hint="eastAsia" w:ascii="宋体" w:hAnsi="宋体"/>
          <w:bCs/>
          <w:sz w:val="24"/>
        </w:rPr>
        <w:t>6.1</w:t>
      </w:r>
      <w:r>
        <w:rPr>
          <w:rFonts w:hint="eastAsia" w:ascii="宋体" w:hAnsi="宋体"/>
          <w:sz w:val="24"/>
        </w:rPr>
        <w:t xml:space="preserve"> 招标文件由以下部分组成：</w:t>
      </w:r>
    </w:p>
    <w:p>
      <w:pPr>
        <w:spacing w:line="360" w:lineRule="auto"/>
        <w:ind w:firstLine="360" w:firstLineChars="150"/>
        <w:rPr>
          <w:rFonts w:ascii="宋体" w:hAnsi="宋体"/>
          <w:sz w:val="24"/>
          <w:szCs w:val="24"/>
        </w:rPr>
      </w:pPr>
      <w:r>
        <w:rPr>
          <w:rFonts w:hint="eastAsia" w:ascii="宋体" w:hAnsi="宋体"/>
          <w:sz w:val="24"/>
          <w:szCs w:val="24"/>
        </w:rPr>
        <w:t>（1）招标公告</w:t>
      </w:r>
    </w:p>
    <w:p>
      <w:pPr>
        <w:spacing w:line="360" w:lineRule="auto"/>
        <w:ind w:firstLine="360" w:firstLineChars="150"/>
        <w:rPr>
          <w:rFonts w:ascii="宋体" w:hAnsi="宋体"/>
          <w:sz w:val="24"/>
          <w:szCs w:val="24"/>
        </w:rPr>
      </w:pPr>
      <w:r>
        <w:rPr>
          <w:rFonts w:hint="eastAsia" w:ascii="宋体" w:hAnsi="宋体"/>
          <w:sz w:val="24"/>
          <w:szCs w:val="24"/>
        </w:rPr>
        <w:t>（2）投标人须知</w:t>
      </w:r>
    </w:p>
    <w:p>
      <w:pPr>
        <w:spacing w:line="360" w:lineRule="auto"/>
        <w:ind w:firstLine="360" w:firstLineChars="150"/>
        <w:rPr>
          <w:rFonts w:ascii="宋体" w:hAnsi="宋体"/>
          <w:sz w:val="24"/>
          <w:szCs w:val="24"/>
        </w:rPr>
      </w:pPr>
      <w:r>
        <w:rPr>
          <w:rFonts w:hint="eastAsia" w:ascii="宋体" w:hAnsi="宋体"/>
          <w:sz w:val="24"/>
          <w:szCs w:val="24"/>
        </w:rPr>
        <w:t>（3）合同条款及格式</w:t>
      </w:r>
    </w:p>
    <w:p>
      <w:pPr>
        <w:spacing w:line="360" w:lineRule="auto"/>
        <w:ind w:firstLine="360" w:firstLineChars="150"/>
        <w:rPr>
          <w:rFonts w:ascii="宋体" w:hAnsi="宋体"/>
          <w:sz w:val="24"/>
          <w:szCs w:val="24"/>
        </w:rPr>
      </w:pPr>
      <w:r>
        <w:rPr>
          <w:rFonts w:hint="eastAsia" w:ascii="宋体" w:hAnsi="宋体"/>
          <w:sz w:val="24"/>
          <w:szCs w:val="24"/>
        </w:rPr>
        <w:t>（4）项目需求</w:t>
      </w:r>
    </w:p>
    <w:p>
      <w:pPr>
        <w:spacing w:line="360" w:lineRule="auto"/>
        <w:ind w:firstLine="360" w:firstLineChars="150"/>
        <w:rPr>
          <w:rFonts w:ascii="宋体" w:hAnsi="宋体"/>
          <w:sz w:val="24"/>
          <w:szCs w:val="24"/>
        </w:rPr>
      </w:pPr>
      <w:r>
        <w:rPr>
          <w:rFonts w:hint="eastAsia" w:ascii="宋体" w:hAnsi="宋体"/>
          <w:sz w:val="24"/>
          <w:szCs w:val="24"/>
        </w:rPr>
        <w:t>（5）评标方法与评标标准</w:t>
      </w:r>
    </w:p>
    <w:p>
      <w:pPr>
        <w:spacing w:line="360" w:lineRule="auto"/>
        <w:ind w:firstLine="360" w:firstLineChars="150"/>
        <w:rPr>
          <w:rFonts w:ascii="宋体" w:hAnsi="宋体"/>
          <w:sz w:val="24"/>
          <w:szCs w:val="24"/>
        </w:rPr>
      </w:pPr>
      <w:r>
        <w:rPr>
          <w:rFonts w:hint="eastAsia" w:ascii="宋体" w:hAnsi="宋体"/>
          <w:sz w:val="24"/>
          <w:szCs w:val="24"/>
        </w:rPr>
        <w:t>（6）投标文件格式</w:t>
      </w:r>
    </w:p>
    <w:p>
      <w:pPr>
        <w:spacing w:line="500" w:lineRule="exact"/>
        <w:ind w:firstLine="482" w:firstLineChars="200"/>
        <w:rPr>
          <w:rFonts w:ascii="宋体" w:hAnsi="宋体"/>
          <w:b/>
          <w:sz w:val="24"/>
        </w:rPr>
      </w:pPr>
      <w:r>
        <w:rPr>
          <w:rFonts w:hint="eastAsia" w:ascii="宋体" w:hAnsi="宋体"/>
          <w:b/>
          <w:sz w:val="24"/>
        </w:rPr>
        <w:t>供应商下载招标文件后，应仔细检查招标文件的所有内容，如对采购活动事项有疑问的，应以书面形式提出询问或疑问，未在规定时间内提出询问或疑问的，视同供应商理解并接受本招标文件所有内容，并由此引起的投标损失自负。</w:t>
      </w:r>
    </w:p>
    <w:p>
      <w:pPr>
        <w:spacing w:line="500" w:lineRule="exact"/>
        <w:ind w:firstLine="480" w:firstLineChars="200"/>
        <w:rPr>
          <w:rFonts w:ascii="宋体" w:hAnsi="宋体"/>
          <w:sz w:val="24"/>
        </w:rPr>
      </w:pPr>
      <w:r>
        <w:rPr>
          <w:rFonts w:hint="eastAsia" w:ascii="宋体" w:hAnsi="宋体"/>
          <w:bCs/>
          <w:sz w:val="24"/>
        </w:rPr>
        <w:t>6.2</w:t>
      </w:r>
      <w:r>
        <w:rPr>
          <w:rFonts w:hint="eastAsia" w:ascii="宋体" w:hAnsi="宋体"/>
          <w:sz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spacing w:before="0" w:after="0" w:line="240" w:lineRule="auto"/>
        <w:ind w:firstLine="560" w:firstLineChars="200"/>
        <w:rPr>
          <w:rFonts w:ascii="宋体" w:hAnsi="宋体" w:eastAsia="宋体"/>
          <w:b w:val="0"/>
          <w:bCs w:val="0"/>
        </w:rPr>
      </w:pPr>
      <w:bookmarkStart w:id="71" w:name="_Toc462564070"/>
      <w:bookmarkStart w:id="72" w:name="_Toc513029211"/>
      <w:bookmarkStart w:id="73" w:name="_Toc20823283"/>
      <w:bookmarkStart w:id="74" w:name="_Toc16938527"/>
      <w:r>
        <w:rPr>
          <w:rFonts w:hint="eastAsia" w:ascii="宋体" w:hAnsi="宋体" w:eastAsia="宋体"/>
          <w:b w:val="0"/>
          <w:bCs w:val="0"/>
        </w:rPr>
        <w:t>7、招标文件的</w:t>
      </w:r>
      <w:bookmarkEnd w:id="71"/>
      <w:bookmarkEnd w:id="72"/>
      <w:bookmarkEnd w:id="73"/>
      <w:bookmarkEnd w:id="74"/>
      <w:r>
        <w:rPr>
          <w:rFonts w:hint="eastAsia" w:ascii="宋体" w:hAnsi="宋体" w:eastAsia="宋体"/>
          <w:b w:val="0"/>
          <w:bCs w:val="0"/>
        </w:rPr>
        <w:t>疑问</w:t>
      </w:r>
    </w:p>
    <w:p>
      <w:pPr>
        <w:spacing w:line="500" w:lineRule="exact"/>
        <w:ind w:firstLine="480" w:firstLineChars="200"/>
        <w:rPr>
          <w:rFonts w:ascii="宋体" w:hAnsi="宋体"/>
          <w:bCs/>
          <w:sz w:val="24"/>
        </w:rPr>
      </w:pPr>
      <w:r>
        <w:rPr>
          <w:rFonts w:hint="eastAsia" w:ascii="宋体" w:hAnsi="宋体"/>
          <w:bCs/>
          <w:sz w:val="24"/>
        </w:rPr>
        <w:t>7.1</w:t>
      </w:r>
      <w:bookmarkStart w:id="75" w:name="_Toc462564071"/>
      <w:bookmarkStart w:id="76" w:name="_Toc513029212"/>
      <w:bookmarkStart w:id="77" w:name="_Toc20823284"/>
      <w:bookmarkStart w:id="78" w:name="_Toc16938528"/>
      <w:r>
        <w:rPr>
          <w:rFonts w:hint="eastAsia" w:ascii="宋体" w:hAnsi="宋体"/>
          <w:bCs/>
          <w:sz w:val="24"/>
        </w:rPr>
        <w:t>供应商对采购活动事项有疑问的，应当在</w:t>
      </w:r>
      <w:r>
        <w:rPr>
          <w:rFonts w:hint="eastAsia" w:ascii="宋体" w:hAnsi="宋体"/>
          <w:bCs/>
          <w:sz w:val="24"/>
          <w:highlight w:val="yellow"/>
        </w:rPr>
        <w:t>2021年</w:t>
      </w:r>
      <w:r>
        <w:rPr>
          <w:rFonts w:hint="eastAsia" w:ascii="宋体" w:hAnsi="宋体"/>
          <w:bCs/>
          <w:sz w:val="24"/>
          <w:highlight w:val="yellow"/>
          <w:lang w:val="en-US" w:eastAsia="zh-CN"/>
        </w:rPr>
        <w:t>8</w:t>
      </w:r>
      <w:r>
        <w:rPr>
          <w:rFonts w:hint="eastAsia" w:ascii="宋体" w:hAnsi="宋体"/>
          <w:bCs/>
          <w:sz w:val="24"/>
          <w:highlight w:val="yellow"/>
        </w:rPr>
        <w:t>月</w:t>
      </w:r>
      <w:r>
        <w:rPr>
          <w:rFonts w:hint="eastAsia" w:ascii="宋体" w:hAnsi="宋体"/>
          <w:bCs/>
          <w:sz w:val="24"/>
          <w:highlight w:val="yellow"/>
          <w:lang w:val="en-US" w:eastAsia="zh-CN"/>
        </w:rPr>
        <w:t>31</w:t>
      </w:r>
      <w:r>
        <w:rPr>
          <w:rFonts w:hint="eastAsia" w:ascii="宋体" w:hAnsi="宋体"/>
          <w:bCs/>
          <w:sz w:val="24"/>
          <w:highlight w:val="yellow"/>
        </w:rPr>
        <w:t>日17:00前向采购人提出询问，采购人将在20</w:t>
      </w:r>
      <w:r>
        <w:rPr>
          <w:rFonts w:ascii="宋体" w:hAnsi="宋体"/>
          <w:bCs/>
          <w:sz w:val="24"/>
          <w:highlight w:val="yellow"/>
        </w:rPr>
        <w:t>2</w:t>
      </w:r>
      <w:r>
        <w:rPr>
          <w:rFonts w:hint="eastAsia" w:ascii="宋体" w:hAnsi="宋体"/>
          <w:bCs/>
          <w:sz w:val="24"/>
          <w:highlight w:val="yellow"/>
        </w:rPr>
        <w:t>1年9月</w:t>
      </w:r>
      <w:r>
        <w:rPr>
          <w:rFonts w:hint="eastAsia" w:ascii="宋体" w:hAnsi="宋体"/>
          <w:bCs/>
          <w:sz w:val="24"/>
          <w:highlight w:val="yellow"/>
          <w:lang w:val="en-US" w:eastAsia="zh-CN"/>
        </w:rPr>
        <w:t>1</w:t>
      </w:r>
      <w:r>
        <w:rPr>
          <w:rFonts w:hint="eastAsia" w:ascii="宋体" w:hAnsi="宋体"/>
          <w:bCs/>
          <w:sz w:val="24"/>
          <w:highlight w:val="yellow"/>
        </w:rPr>
        <w:t>日24:00前</w:t>
      </w:r>
      <w:r>
        <w:rPr>
          <w:rFonts w:hint="eastAsia" w:ascii="宋体" w:hAnsi="宋体"/>
          <w:bCs/>
          <w:sz w:val="24"/>
        </w:rPr>
        <w:t>对供应商依法提出的询问作出答复。</w:t>
      </w:r>
      <w:bookmarkStart w:id="296" w:name="_GoBack"/>
      <w:bookmarkEnd w:id="296"/>
    </w:p>
    <w:p>
      <w:pPr>
        <w:spacing w:line="500" w:lineRule="exact"/>
        <w:ind w:firstLine="480" w:firstLineChars="200"/>
        <w:rPr>
          <w:rFonts w:ascii="宋体" w:hAnsi="宋体"/>
          <w:bCs/>
          <w:sz w:val="24"/>
        </w:rPr>
      </w:pPr>
      <w:r>
        <w:rPr>
          <w:rFonts w:hint="eastAsia" w:ascii="宋体" w:hAnsi="宋体"/>
          <w:bCs/>
          <w:sz w:val="24"/>
        </w:rPr>
        <w:t>7.2投标人认为采购文件使自己的权益受到损害的，可以在</w:t>
      </w:r>
      <w:r>
        <w:rPr>
          <w:rFonts w:hint="eastAsia" w:ascii="宋体" w:hAnsi="宋体"/>
          <w:bCs/>
          <w:sz w:val="24"/>
          <w:highlight w:val="yellow"/>
        </w:rPr>
        <w:t>20</w:t>
      </w:r>
      <w:r>
        <w:rPr>
          <w:rFonts w:ascii="宋体" w:hAnsi="宋体"/>
          <w:bCs/>
          <w:sz w:val="24"/>
          <w:highlight w:val="yellow"/>
        </w:rPr>
        <w:t>2</w:t>
      </w:r>
      <w:r>
        <w:rPr>
          <w:rFonts w:hint="eastAsia" w:ascii="宋体" w:hAnsi="宋体"/>
          <w:bCs/>
          <w:sz w:val="24"/>
          <w:highlight w:val="yellow"/>
        </w:rPr>
        <w:t>1年9月</w:t>
      </w:r>
      <w:r>
        <w:rPr>
          <w:rFonts w:hint="eastAsia" w:ascii="宋体" w:hAnsi="宋体"/>
          <w:bCs/>
          <w:sz w:val="24"/>
          <w:highlight w:val="yellow"/>
          <w:lang w:val="en-US" w:eastAsia="zh-CN"/>
        </w:rPr>
        <w:t>1</w:t>
      </w:r>
      <w:r>
        <w:rPr>
          <w:rFonts w:hint="eastAsia" w:ascii="宋体" w:hAnsi="宋体"/>
          <w:bCs/>
          <w:sz w:val="24"/>
          <w:highlight w:val="yellow"/>
        </w:rPr>
        <w:t>日17:00</w:t>
      </w:r>
      <w:r>
        <w:rPr>
          <w:rFonts w:hint="eastAsia" w:ascii="宋体" w:hAnsi="宋体"/>
          <w:bCs/>
          <w:sz w:val="24"/>
        </w:rPr>
        <w:t>前，以书面形式向采购人提出质疑。采购人将在收到投标人的书面质疑后7个工作日内对投标人依法提出的质疑作出答复，并将通知质疑投标人和其他有关投标人，但答复内容涉及商业秘密的除外。</w:t>
      </w:r>
    </w:p>
    <w:p>
      <w:pPr>
        <w:spacing w:line="500" w:lineRule="exact"/>
        <w:ind w:firstLine="480" w:firstLineChars="200"/>
        <w:rPr>
          <w:rFonts w:ascii="宋体" w:hAnsi="宋体"/>
          <w:bCs/>
          <w:sz w:val="24"/>
        </w:rPr>
      </w:pPr>
      <w:r>
        <w:rPr>
          <w:rFonts w:hint="eastAsia" w:ascii="宋体" w:hAnsi="宋体"/>
          <w:bCs/>
          <w:sz w:val="24"/>
        </w:rPr>
        <w:t>7.3采购人委托招标代理机构采购的，投标人可以向招标代理机构提出质疑，招标代理机构依照《中华人民共和国政府采购法》有关规定就采购人委托授权范围内的事项作出答复。</w:t>
      </w:r>
    </w:p>
    <w:p>
      <w:pPr>
        <w:spacing w:line="500" w:lineRule="exact"/>
        <w:ind w:firstLine="480" w:firstLineChars="200"/>
        <w:rPr>
          <w:rFonts w:ascii="宋体" w:hAnsi="宋体"/>
          <w:sz w:val="24"/>
        </w:rPr>
      </w:pPr>
      <w:r>
        <w:rPr>
          <w:rFonts w:hint="eastAsia" w:ascii="宋体" w:hAnsi="宋体"/>
          <w:bCs/>
          <w:sz w:val="24"/>
        </w:rPr>
        <w:t>7.4采购人可能在</w:t>
      </w:r>
      <w:r>
        <w:rPr>
          <w:rFonts w:hint="eastAsia" w:ascii="宋体" w:hAnsi="宋体"/>
          <w:bCs/>
          <w:sz w:val="24"/>
          <w:highlight w:val="yellow"/>
        </w:rPr>
        <w:t>20</w:t>
      </w:r>
      <w:r>
        <w:rPr>
          <w:rFonts w:ascii="宋体" w:hAnsi="宋体"/>
          <w:bCs/>
          <w:sz w:val="24"/>
          <w:highlight w:val="yellow"/>
        </w:rPr>
        <w:t>2</w:t>
      </w:r>
      <w:r>
        <w:rPr>
          <w:rFonts w:hint="eastAsia" w:ascii="宋体" w:hAnsi="宋体"/>
          <w:bCs/>
          <w:sz w:val="24"/>
          <w:highlight w:val="yellow"/>
        </w:rPr>
        <w:t>1年9月</w:t>
      </w:r>
      <w:r>
        <w:rPr>
          <w:rFonts w:hint="eastAsia" w:ascii="宋体" w:hAnsi="宋体"/>
          <w:bCs/>
          <w:sz w:val="24"/>
          <w:highlight w:val="yellow"/>
          <w:lang w:val="en-US" w:eastAsia="zh-CN"/>
        </w:rPr>
        <w:t>1</w:t>
      </w:r>
      <w:r>
        <w:rPr>
          <w:rFonts w:hint="eastAsia" w:ascii="宋体" w:hAnsi="宋体"/>
          <w:bCs/>
          <w:sz w:val="24"/>
          <w:highlight w:val="yellow"/>
        </w:rPr>
        <w:t>日24:00</w:t>
      </w:r>
      <w:r>
        <w:rPr>
          <w:rFonts w:hint="eastAsia" w:ascii="宋体" w:hAnsi="宋体"/>
          <w:bCs/>
          <w:sz w:val="24"/>
        </w:rPr>
        <w:t>前对已发出的招标文件进行必要的澄清或者修改，如澄清或修改时间晚于国家有关法律法规规定的，采购人将顺延</w:t>
      </w:r>
      <w:r>
        <w:rPr>
          <w:rFonts w:hint="eastAsia" w:ascii="宋体" w:hAnsi="宋体"/>
          <w:sz w:val="24"/>
        </w:rPr>
        <w:t>提交投标文件的截止时间，并以书面形式通知所有获取招标文件的潜在投标人。</w:t>
      </w:r>
    </w:p>
    <w:p>
      <w:pPr>
        <w:pStyle w:val="7"/>
        <w:spacing w:before="0" w:after="0" w:line="240" w:lineRule="auto"/>
        <w:ind w:firstLine="560" w:firstLineChars="200"/>
        <w:rPr>
          <w:rFonts w:ascii="宋体" w:hAnsi="宋体" w:eastAsia="宋体"/>
          <w:b w:val="0"/>
          <w:bCs w:val="0"/>
        </w:rPr>
      </w:pPr>
      <w:r>
        <w:rPr>
          <w:rFonts w:hint="eastAsia" w:ascii="宋体" w:hAnsi="宋体" w:eastAsia="宋体"/>
          <w:b w:val="0"/>
          <w:bCs w:val="0"/>
        </w:rPr>
        <w:t>8、招标文件的修改</w:t>
      </w:r>
      <w:bookmarkEnd w:id="75"/>
      <w:bookmarkEnd w:id="76"/>
      <w:bookmarkEnd w:id="77"/>
      <w:bookmarkEnd w:id="78"/>
      <w:r>
        <w:rPr>
          <w:rFonts w:hint="eastAsia" w:ascii="宋体" w:hAnsi="宋体" w:eastAsia="宋体"/>
          <w:b w:val="0"/>
          <w:bCs w:val="0"/>
        </w:rPr>
        <w:t>及澄清</w:t>
      </w:r>
    </w:p>
    <w:p>
      <w:pPr>
        <w:spacing w:line="500" w:lineRule="exact"/>
        <w:ind w:firstLine="480" w:firstLineChars="200"/>
        <w:rPr>
          <w:rFonts w:ascii="宋体" w:hAnsi="宋体"/>
          <w:bCs/>
          <w:sz w:val="24"/>
        </w:rPr>
      </w:pPr>
      <w:r>
        <w:rPr>
          <w:rFonts w:hint="eastAsia" w:ascii="宋体" w:hAnsi="宋体"/>
          <w:bCs/>
          <w:sz w:val="24"/>
        </w:rPr>
        <w:t>8.1 在投标截止时间十五日前，采购人可以对招标文件进行修改。</w:t>
      </w:r>
    </w:p>
    <w:p>
      <w:pPr>
        <w:spacing w:line="500" w:lineRule="exact"/>
        <w:ind w:firstLine="480" w:firstLineChars="200"/>
        <w:rPr>
          <w:rFonts w:ascii="宋体" w:hAnsi="宋体"/>
          <w:bCs/>
          <w:sz w:val="24"/>
        </w:rPr>
      </w:pPr>
      <w:r>
        <w:rPr>
          <w:rFonts w:hint="eastAsia" w:ascii="宋体" w:hAnsi="宋体"/>
          <w:bCs/>
          <w:sz w:val="24"/>
        </w:rPr>
        <w:t>8.2采购人有权按照法定的要求推迟投标截止日期和开标日期。</w:t>
      </w:r>
    </w:p>
    <w:p>
      <w:pPr>
        <w:spacing w:line="500" w:lineRule="exact"/>
        <w:ind w:firstLine="480" w:firstLineChars="200"/>
        <w:rPr>
          <w:rFonts w:ascii="宋体" w:hAnsi="宋体"/>
          <w:bCs/>
          <w:sz w:val="24"/>
        </w:rPr>
      </w:pPr>
      <w:r>
        <w:rPr>
          <w:rFonts w:hint="eastAsia" w:ascii="宋体" w:hAnsi="宋体"/>
          <w:bCs/>
          <w:sz w:val="24"/>
        </w:rPr>
        <w:t>8.3</w:t>
      </w:r>
      <w:bookmarkStart w:id="79" w:name="_Toc462564072"/>
      <w:bookmarkStart w:id="80" w:name="_Toc20823285"/>
      <w:bookmarkStart w:id="81" w:name="_Toc120614216"/>
      <w:bookmarkStart w:id="82" w:name="_Toc16938529"/>
      <w:bookmarkStart w:id="83" w:name="_Toc513029213"/>
      <w:r>
        <w:rPr>
          <w:rFonts w:hint="eastAsia" w:ascii="宋体" w:hAnsi="宋体"/>
          <w:bCs/>
          <w:sz w:val="24"/>
        </w:rPr>
        <w:t>招标文件的修改将在</w:t>
      </w:r>
      <w:r>
        <w:rPr>
          <w:rFonts w:hint="eastAsia" w:asciiTheme="majorEastAsia" w:hAnsiTheme="majorEastAsia" w:eastAsiaTheme="majorEastAsia"/>
          <w:sz w:val="24"/>
          <w:szCs w:val="24"/>
        </w:rPr>
        <w:t>“南通市公共资源交易网http://ggzyjy.nantong.gov.cn/jyxx/tradeInfo.html、南通港口集团有限公司http://www.ntport.com.cn/?ivk_sa=1024320u”</w:t>
      </w:r>
      <w:r>
        <w:rPr>
          <w:rFonts w:hint="eastAsia" w:ascii="宋体" w:hAnsi="宋体"/>
          <w:bCs/>
          <w:sz w:val="24"/>
        </w:rPr>
        <w:t>、公布，补充文件将作为招标文件的组成部分，并对投标人具有约束力。</w:t>
      </w:r>
    </w:p>
    <w:p>
      <w:pPr>
        <w:spacing w:line="360" w:lineRule="auto"/>
        <w:jc w:val="center"/>
        <w:rPr>
          <w:rFonts w:ascii="宋体" w:hAnsi="宋体"/>
          <w:b/>
          <w:sz w:val="26"/>
          <w:szCs w:val="20"/>
        </w:rPr>
      </w:pPr>
      <w:r>
        <w:rPr>
          <w:rFonts w:hint="eastAsia" w:ascii="宋体" w:hAnsi="宋体"/>
          <w:b/>
          <w:sz w:val="26"/>
          <w:szCs w:val="20"/>
        </w:rPr>
        <w:t>三、投标文件的编制</w:t>
      </w:r>
      <w:bookmarkEnd w:id="79"/>
      <w:bookmarkEnd w:id="80"/>
      <w:bookmarkEnd w:id="81"/>
      <w:bookmarkEnd w:id="82"/>
      <w:bookmarkEnd w:id="83"/>
    </w:p>
    <w:p>
      <w:pPr>
        <w:pStyle w:val="7"/>
        <w:spacing w:before="0" w:after="0" w:line="360" w:lineRule="auto"/>
        <w:ind w:firstLine="560" w:firstLineChars="200"/>
        <w:rPr>
          <w:rFonts w:ascii="宋体" w:hAnsi="宋体" w:eastAsia="宋体"/>
          <w:bCs w:val="0"/>
        </w:rPr>
      </w:pPr>
      <w:bookmarkStart w:id="84" w:name="_Toc513029214"/>
      <w:bookmarkStart w:id="85" w:name="_Toc16938530"/>
      <w:bookmarkStart w:id="86" w:name="_Toc462564073"/>
      <w:bookmarkStart w:id="87" w:name="_Toc20823286"/>
      <w:r>
        <w:rPr>
          <w:rFonts w:hint="eastAsia" w:ascii="宋体" w:hAnsi="宋体" w:eastAsia="宋体"/>
          <w:b w:val="0"/>
          <w:bCs w:val="0"/>
        </w:rPr>
        <w:t>9、投标文件的语言及度量衡单位</w:t>
      </w:r>
      <w:bookmarkEnd w:id="84"/>
      <w:bookmarkEnd w:id="85"/>
      <w:bookmarkEnd w:id="86"/>
      <w:bookmarkEnd w:id="87"/>
    </w:p>
    <w:p>
      <w:pPr>
        <w:spacing w:line="500" w:lineRule="exact"/>
        <w:ind w:firstLine="480" w:firstLineChars="200"/>
        <w:rPr>
          <w:rFonts w:ascii="宋体" w:hAnsi="宋体"/>
          <w:bCs/>
          <w:sz w:val="24"/>
        </w:rPr>
      </w:pPr>
      <w:r>
        <w:rPr>
          <w:rFonts w:hint="eastAsia" w:ascii="宋体" w:hAnsi="宋体"/>
          <w:bCs/>
          <w:sz w:val="24"/>
        </w:rPr>
        <w:t>9.1 投标人提交的投标文件以及投标人与采购人就有关投标的所有来往通知、函件和文件均应使用简体中文。</w:t>
      </w:r>
    </w:p>
    <w:p>
      <w:pPr>
        <w:spacing w:line="500" w:lineRule="exact"/>
        <w:ind w:firstLine="480" w:firstLineChars="200"/>
        <w:rPr>
          <w:rFonts w:ascii="宋体" w:hAnsi="宋体"/>
          <w:bCs/>
          <w:sz w:val="24"/>
        </w:rPr>
      </w:pPr>
      <w:r>
        <w:rPr>
          <w:rFonts w:hint="eastAsia" w:ascii="宋体" w:hAnsi="宋体"/>
          <w:bCs/>
          <w:sz w:val="24"/>
        </w:rPr>
        <w:t>9.2 除技术性能另有规定外，投标文件所使用的度量衡单位，均须采用国家法定计量单位。</w:t>
      </w:r>
    </w:p>
    <w:p>
      <w:pPr>
        <w:pStyle w:val="7"/>
        <w:spacing w:before="0" w:after="0" w:line="240" w:lineRule="auto"/>
        <w:ind w:firstLine="420" w:firstLineChars="150"/>
        <w:rPr>
          <w:rFonts w:ascii="宋体" w:hAnsi="宋体" w:eastAsia="宋体"/>
          <w:b w:val="0"/>
          <w:bCs w:val="0"/>
        </w:rPr>
      </w:pPr>
      <w:bookmarkStart w:id="88" w:name="_Toc513029215"/>
      <w:bookmarkStart w:id="89" w:name="_Toc16938531"/>
      <w:bookmarkStart w:id="90" w:name="_Toc462564074"/>
      <w:bookmarkStart w:id="91" w:name="_Toc20823287"/>
      <w:r>
        <w:rPr>
          <w:rFonts w:hint="eastAsia" w:ascii="宋体" w:hAnsi="宋体" w:eastAsia="宋体"/>
          <w:b w:val="0"/>
          <w:bCs w:val="0"/>
        </w:rPr>
        <w:t>10、投标文件构成</w:t>
      </w:r>
      <w:bookmarkEnd w:id="88"/>
      <w:bookmarkEnd w:id="89"/>
      <w:bookmarkEnd w:id="90"/>
      <w:bookmarkEnd w:id="91"/>
    </w:p>
    <w:p>
      <w:pPr>
        <w:pStyle w:val="17"/>
        <w:rPr>
          <w:rFonts w:ascii="宋体" w:hAnsi="宋体"/>
          <w:b/>
        </w:rPr>
      </w:pPr>
      <w:r>
        <w:rPr>
          <w:rFonts w:hint="eastAsia" w:ascii="宋体" w:hAnsi="宋体"/>
          <w:b/>
        </w:rPr>
        <w:t>10.1资格审查文件：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法定代表人身份证明书及法定代表人身份证扫描件；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法定代表人授权委托书及授权委托人身份证扫描件；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企业法人营业执照扫描件；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关于资格的声明函；</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履行合同所必需的设备和专业技术能力承诺函；</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参加政府采购活动前 3 年内在经营活动中没有重大违法记录和失信记录的书面声明；</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具有良好的商业信誉和健全的财务会计制度证明材料（提供2020年度由会计师事务所出具的财务审计报告或2021年任意一个月财务报表或提供响应人基本开户银行出具银行资信证明扫描件）；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有依法缴纳税收和社会保障资金的良好记录：投标人依法缴纳近一年内任意一个月税收的相关凭证的扫描件，及投标人依法缴纳近一年内任意一个月社会保险的相关凭证（社会保险的凭据（专用收据或社会保险缴纳清单）），依法免税或不需要缴纳社会保障资金的投标人，应提供相应文件证明其依法免税或不需要缴纳社会保障资金；</w:t>
      </w:r>
    </w:p>
    <w:p>
      <w:pPr>
        <w:pStyle w:val="2"/>
        <w:ind w:firstLine="480" w:firstLineChars="20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9）</w:t>
      </w:r>
      <w:r>
        <w:rPr>
          <w:rFonts w:hint="eastAsia" w:asciiTheme="majorEastAsia" w:hAnsiTheme="majorEastAsia" w:eastAsiaTheme="majorEastAsia"/>
          <w:sz w:val="24"/>
          <w:szCs w:val="24"/>
          <w:u w:val="single"/>
        </w:rPr>
        <w:t>供应商必须具备2019年至今不少于两份所投产品的业绩（代理商可以采用生产商的业绩）提供相应的采购合同证明文件。</w:t>
      </w:r>
    </w:p>
    <w:p>
      <w:pPr>
        <w:spacing w:line="360" w:lineRule="auto"/>
        <w:ind w:left="42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10）</w:t>
      </w:r>
      <w:r>
        <w:rPr>
          <w:rFonts w:hint="eastAsia" w:asciiTheme="majorEastAsia" w:hAnsiTheme="majorEastAsia" w:eastAsiaTheme="majorEastAsia"/>
          <w:sz w:val="24"/>
          <w:szCs w:val="24"/>
          <w:u w:val="single"/>
        </w:rPr>
        <w:t>诚信承诺函。</w:t>
      </w:r>
    </w:p>
    <w:p>
      <w:pPr>
        <w:pStyle w:val="2"/>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11）</w:t>
      </w:r>
      <w:r>
        <w:rPr>
          <w:rFonts w:hint="eastAsia" w:asciiTheme="majorEastAsia" w:hAnsiTheme="majorEastAsia" w:eastAsiaTheme="majorEastAsia"/>
          <w:sz w:val="24"/>
          <w:szCs w:val="24"/>
          <w:u w:val="single"/>
        </w:rPr>
        <w:t>投标保证金回执。</w:t>
      </w:r>
    </w:p>
    <w:p>
      <w:pPr>
        <w:spacing w:line="360" w:lineRule="auto"/>
        <w:ind w:firstLine="360" w:firstLineChars="150"/>
        <w:rPr>
          <w:rFonts w:asciiTheme="majorEastAsia" w:hAnsiTheme="majorEastAsia" w:eastAsiaTheme="majorEastAsia"/>
          <w:sz w:val="24"/>
          <w:szCs w:val="24"/>
        </w:rPr>
      </w:pPr>
      <w:r>
        <w:rPr>
          <w:rFonts w:hint="eastAsia" w:asciiTheme="majorEastAsia" w:hAnsiTheme="majorEastAsia" w:eastAsiaTheme="majorEastAsia"/>
          <w:sz w:val="24"/>
          <w:szCs w:val="24"/>
        </w:rPr>
        <w:t>注：上述（1）</w:t>
      </w:r>
      <w:r>
        <w:rPr>
          <w:rFonts w:asciiTheme="majorEastAsia" w:hAnsiTheme="majorEastAsia" w:eastAsiaTheme="majorEastAsia"/>
          <w:sz w:val="24"/>
          <w:szCs w:val="24"/>
        </w:rPr>
        <w:t>—</w:t>
      </w:r>
      <w:r>
        <w:rPr>
          <w:rFonts w:hint="eastAsia" w:asciiTheme="majorEastAsia" w:hAnsiTheme="majorEastAsia" w:eastAsiaTheme="majorEastAsia"/>
          <w:sz w:val="24"/>
          <w:szCs w:val="24"/>
        </w:rPr>
        <w:t>（11）中任何一条不符合要求，则资格性审查不通过,按无效投标文件处理。</w:t>
      </w:r>
    </w:p>
    <w:p>
      <w:pPr>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10.2综合标文件：编制要求具体详见招标文件第五章综合标评审标准所含全部内容。</w:t>
      </w:r>
    </w:p>
    <w:p>
      <w:pPr>
        <w:numPr>
          <w:ilvl w:val="0"/>
          <w:numId w:val="13"/>
        </w:numPr>
        <w:spacing w:line="360" w:lineRule="auto"/>
        <w:ind w:firstLine="723" w:firstLineChars="300"/>
        <w:rPr>
          <w:rFonts w:asciiTheme="majorEastAsia" w:hAnsiTheme="majorEastAsia" w:eastAsiaTheme="majorEastAsia"/>
          <w:b/>
          <w:sz w:val="24"/>
          <w:u w:val="single"/>
        </w:rPr>
      </w:pPr>
      <w:r>
        <w:rPr>
          <w:rFonts w:hint="eastAsia" w:asciiTheme="majorEastAsia" w:hAnsiTheme="majorEastAsia" w:eastAsiaTheme="majorEastAsia"/>
          <w:b/>
          <w:sz w:val="24"/>
          <w:u w:val="single"/>
        </w:rPr>
        <w:t>报价表（注：投标人必须详细报出采购项目名称、品牌、规格型号、数量、单价。且投标报价表报价与投标函报价相等。请各供应商务必按照要求填报，否则作为无效投标处理）；</w:t>
      </w:r>
    </w:p>
    <w:p>
      <w:pPr>
        <w:spacing w:line="360" w:lineRule="auto"/>
        <w:rPr>
          <w:rFonts w:asciiTheme="majorEastAsia" w:hAnsiTheme="majorEastAsia" w:eastAsiaTheme="majorEastAsia"/>
          <w:b/>
          <w:sz w:val="24"/>
          <w:u w:val="single"/>
        </w:rPr>
      </w:pPr>
      <w:r>
        <w:rPr>
          <w:rFonts w:hint="eastAsia" w:ascii="宋体" w:hAnsi="宋体"/>
          <w:b/>
          <w:bCs/>
          <w:sz w:val="24"/>
        </w:rPr>
        <w:t>注：报价包含除正式车险之外的一切费用。</w:t>
      </w:r>
    </w:p>
    <w:p>
      <w:pPr>
        <w:spacing w:line="360" w:lineRule="auto"/>
        <w:ind w:firstLine="480" w:firstLineChars="200"/>
        <w:rPr>
          <w:rFonts w:ascii="宋体" w:hAnsi="宋体" w:cs="宋体"/>
          <w:b/>
          <w:bCs/>
          <w:sz w:val="24"/>
          <w:szCs w:val="24"/>
        </w:rPr>
      </w:pPr>
      <w:bookmarkStart w:id="92" w:name="_Hlt26954838"/>
      <w:bookmarkEnd w:id="92"/>
      <w:bookmarkStart w:id="93" w:name="_Hlt26668975"/>
      <w:bookmarkEnd w:id="93"/>
      <w:bookmarkStart w:id="94" w:name="_Hlt26670360"/>
      <w:bookmarkEnd w:id="94"/>
      <w:bookmarkStart w:id="95" w:name="_Toc49090507"/>
      <w:bookmarkStart w:id="96" w:name="_Toc513029219"/>
      <w:bookmarkStart w:id="97" w:name="_Toc49090509"/>
      <w:bookmarkStart w:id="98" w:name="_Toc14577357"/>
      <w:bookmarkStart w:id="99" w:name="_Toc14577354"/>
      <w:bookmarkStart w:id="100" w:name="_Toc513029216"/>
      <w:bookmarkStart w:id="101" w:name="_Toc49090508"/>
      <w:bookmarkStart w:id="102" w:name="_Toc14577355"/>
      <w:r>
        <w:rPr>
          <w:rFonts w:hint="eastAsia" w:ascii="宋体" w:hAnsi="宋体" w:cs="宋体"/>
          <w:sz w:val="24"/>
          <w:szCs w:val="24"/>
        </w:rPr>
        <w:t>11、</w:t>
      </w:r>
      <w:bookmarkEnd w:id="95"/>
      <w:bookmarkEnd w:id="96"/>
      <w:bookmarkEnd w:id="97"/>
      <w:bookmarkEnd w:id="98"/>
      <w:bookmarkEnd w:id="99"/>
      <w:bookmarkEnd w:id="100"/>
      <w:r>
        <w:rPr>
          <w:rFonts w:hint="eastAsia" w:ascii="宋体" w:hAnsi="宋体" w:cs="宋体"/>
          <w:b/>
          <w:bCs/>
          <w:sz w:val="24"/>
          <w:szCs w:val="24"/>
        </w:rPr>
        <w:t>投标文件的编写、份数和签署（以招标文件格式为准）。</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12、</w:t>
      </w:r>
      <w:bookmarkEnd w:id="101"/>
      <w:bookmarkEnd w:id="102"/>
      <w:bookmarkStart w:id="103" w:name="_Hlt26954731"/>
      <w:bookmarkEnd w:id="103"/>
      <w:bookmarkStart w:id="104" w:name="_Hlt26670486"/>
      <w:bookmarkEnd w:id="104"/>
      <w:bookmarkStart w:id="105" w:name="_Hlt26670482"/>
      <w:bookmarkEnd w:id="105"/>
      <w:bookmarkStart w:id="106" w:name="_Hlt26954848"/>
      <w:bookmarkEnd w:id="106"/>
      <w:bookmarkStart w:id="107" w:name="_Hlt26954846"/>
      <w:bookmarkEnd w:id="107"/>
      <w:r>
        <w:rPr>
          <w:rFonts w:hint="eastAsia" w:asciiTheme="majorEastAsia" w:hAnsiTheme="majorEastAsia" w:eastAsiaTheme="majorEastAsia"/>
          <w:sz w:val="28"/>
          <w:szCs w:val="28"/>
        </w:rPr>
        <w:t>投标报价</w:t>
      </w:r>
    </w:p>
    <w:p>
      <w:pPr>
        <w:spacing w:line="520" w:lineRule="exact"/>
        <w:ind w:firstLine="480" w:firstLineChars="200"/>
        <w:rPr>
          <w:rFonts w:asciiTheme="majorEastAsia" w:hAnsiTheme="majorEastAsia" w:eastAsiaTheme="majorEastAsia"/>
          <w:sz w:val="24"/>
        </w:rPr>
      </w:pPr>
      <w:bookmarkStart w:id="108" w:name="_Toc14577359"/>
      <w:bookmarkStart w:id="109" w:name="_Toc49090510"/>
      <w:r>
        <w:rPr>
          <w:rFonts w:hint="eastAsia" w:asciiTheme="majorEastAsia" w:hAnsiTheme="majorEastAsia" w:eastAsiaTheme="majorEastAsia"/>
          <w:sz w:val="24"/>
        </w:rPr>
        <w:t>投标人应根据采购人提供的技术需求，结合企业实际情况，提出总报价。投标人任何漏项、漏报、少报、错报所产生的后果，均由投标人承担责任。报价在合同有效期内（含质保期）不作调整。</w:t>
      </w:r>
    </w:p>
    <w:p>
      <w:pPr>
        <w:spacing w:line="520" w:lineRule="exact"/>
        <w:ind w:firstLine="480" w:firstLineChars="200"/>
        <w:rPr>
          <w:rFonts w:asciiTheme="majorEastAsia" w:hAnsiTheme="majorEastAsia" w:eastAsiaTheme="majorEastAsia"/>
          <w:b/>
          <w:sz w:val="24"/>
        </w:rPr>
      </w:pPr>
      <w:r>
        <w:rPr>
          <w:rFonts w:hint="eastAsia" w:asciiTheme="majorEastAsia" w:hAnsiTheme="majorEastAsia" w:eastAsiaTheme="majorEastAsia"/>
          <w:sz w:val="24"/>
        </w:rPr>
        <w:t>12.1报价应包括投标人对采购货物或产品的材料费、安装调试、运输到指定地点的装运费用（含装卸力资）、相关安装辅助材料费、成品保护费、技术方案设计、施工设计（</w:t>
      </w:r>
      <w:r>
        <w:rPr>
          <w:rFonts w:hint="eastAsia" w:asciiTheme="majorEastAsia" w:hAnsiTheme="majorEastAsia" w:eastAsiaTheme="majorEastAsia"/>
          <w:kern w:val="0"/>
          <w:sz w:val="24"/>
        </w:rPr>
        <w:t>包括图纸设计</w:t>
      </w:r>
      <w:r>
        <w:rPr>
          <w:rFonts w:hint="eastAsia" w:asciiTheme="majorEastAsia" w:hAnsiTheme="majorEastAsia" w:eastAsiaTheme="majorEastAsia"/>
          <w:sz w:val="24"/>
        </w:rPr>
        <w:t>）</w:t>
      </w:r>
      <w:r>
        <w:rPr>
          <w:rFonts w:hint="eastAsia" w:asciiTheme="majorEastAsia" w:hAnsiTheme="majorEastAsia" w:eastAsiaTheme="majorEastAsia"/>
          <w:kern w:val="0"/>
          <w:sz w:val="24"/>
        </w:rPr>
        <w:t>、竣工测试、售后服务计划及购买</w:t>
      </w:r>
      <w:r>
        <w:rPr>
          <w:rFonts w:hint="eastAsia" w:asciiTheme="majorEastAsia" w:hAnsiTheme="majorEastAsia" w:eastAsiaTheme="majorEastAsia"/>
          <w:sz w:val="24"/>
        </w:rPr>
        <w:t>、税费、售后服务等所有预见和不可预见的费用，即招标物交付使用前的所有费用、对采购人组织的各类培训（详见技术规格及要求）以及免保期内的服务费用等包含响应招标文件采购要求的所有费用。</w:t>
      </w:r>
    </w:p>
    <w:p>
      <w:pPr>
        <w:pStyle w:val="7"/>
        <w:spacing w:before="0" w:after="0" w:line="240" w:lineRule="auto"/>
        <w:ind w:firstLine="422" w:firstLineChars="150"/>
        <w:rPr>
          <w:rFonts w:ascii="宋体" w:hAnsi="宋体" w:eastAsia="宋体"/>
        </w:rPr>
      </w:pPr>
      <w:r>
        <w:rPr>
          <w:rFonts w:hint="eastAsia" w:cs="Arial" w:asciiTheme="majorEastAsia" w:hAnsiTheme="majorEastAsia" w:eastAsiaTheme="majorEastAsia"/>
        </w:rPr>
        <w:t>13、</w:t>
      </w:r>
      <w:r>
        <w:rPr>
          <w:rFonts w:hint="eastAsia" w:ascii="宋体" w:hAnsi="宋体" w:eastAsia="宋体"/>
        </w:rPr>
        <w:t>投标文件的密封和递交</w:t>
      </w:r>
    </w:p>
    <w:p>
      <w:pPr>
        <w:spacing w:line="360" w:lineRule="auto"/>
        <w:ind w:firstLine="602" w:firstLineChars="250"/>
        <w:rPr>
          <w:rFonts w:ascii="宋体" w:hAnsi="宋体"/>
          <w:b/>
          <w:sz w:val="24"/>
          <w:szCs w:val="24"/>
        </w:rPr>
      </w:pPr>
      <w:r>
        <w:rPr>
          <w:rFonts w:hint="eastAsia" w:ascii="宋体" w:hAnsi="宋体"/>
          <w:b/>
          <w:sz w:val="24"/>
          <w:szCs w:val="24"/>
        </w:rPr>
        <w:t>13.1响应文件两部分内容（资格审查文件、报价文件）须分别单独密封，</w:t>
      </w:r>
      <w:r>
        <w:rPr>
          <w:rFonts w:hint="eastAsia" w:ascii="宋体" w:hAnsi="宋体"/>
          <w:b/>
          <w:sz w:val="24"/>
          <w:szCs w:val="24"/>
          <w:lang w:val="zh-CN"/>
        </w:rPr>
        <w:t>并牢</w:t>
      </w:r>
      <w:r>
        <w:rPr>
          <w:rFonts w:hint="eastAsia" w:ascii="宋体" w:hAnsi="宋体"/>
          <w:b/>
          <w:sz w:val="24"/>
          <w:szCs w:val="24"/>
        </w:rPr>
        <w:t>固装订成册，不得相互混淆，文件自编目录并连续标注页码，不得将内容拆开。报价文件不得出现于其他谈判文件中。</w:t>
      </w:r>
    </w:p>
    <w:p>
      <w:pPr>
        <w:spacing w:line="360" w:lineRule="auto"/>
        <w:ind w:firstLine="602" w:firstLineChars="250"/>
        <w:rPr>
          <w:rFonts w:ascii="宋体" w:hAnsi="宋体"/>
          <w:b/>
          <w:sz w:val="24"/>
          <w:szCs w:val="24"/>
        </w:rPr>
      </w:pPr>
      <w:r>
        <w:rPr>
          <w:rFonts w:hint="eastAsia" w:ascii="宋体" w:hAnsi="宋体"/>
          <w:b/>
          <w:sz w:val="24"/>
          <w:szCs w:val="24"/>
        </w:rPr>
        <w:t>13.2响应文件每一部分内容均须提供“一正、三副”纸质响应文件，并将正本、副本及图纸类等（如需提供图纸等其它资料的话）合并密封，统一装在一个密封袋或密封箱内（如有A3大小的图纸类，可单独密封）。</w:t>
      </w:r>
    </w:p>
    <w:p>
      <w:pPr>
        <w:spacing w:line="360" w:lineRule="auto"/>
        <w:ind w:firstLine="602" w:firstLineChars="250"/>
        <w:rPr>
          <w:rFonts w:ascii="宋体" w:hAnsi="宋体"/>
          <w:b/>
          <w:sz w:val="24"/>
          <w:szCs w:val="24"/>
        </w:rPr>
      </w:pPr>
      <w:r>
        <w:rPr>
          <w:rFonts w:hint="eastAsia" w:ascii="宋体" w:hAnsi="宋体"/>
          <w:b/>
          <w:sz w:val="24"/>
          <w:szCs w:val="24"/>
        </w:rPr>
        <w:t>13.3纸质响应文件须</w:t>
      </w:r>
      <w:r>
        <w:rPr>
          <w:rFonts w:hint="eastAsia" w:ascii="宋体" w:hAnsi="宋体"/>
          <w:b/>
          <w:sz w:val="24"/>
          <w:szCs w:val="24"/>
          <w:lang w:val="zh-CN"/>
        </w:rPr>
        <w:t>采用A4纸（</w:t>
      </w:r>
      <w:r>
        <w:rPr>
          <w:rFonts w:hint="eastAsia" w:ascii="宋体" w:hAnsi="宋体"/>
          <w:b/>
          <w:sz w:val="24"/>
          <w:szCs w:val="24"/>
        </w:rPr>
        <w:t>图纸等除外），正本须打印并由法定代表人或授权人签字并加盖单位印章。副本可复印，但须加盖单位印章。文件内容中不得行间插字、涂改、增删，如修补错漏处，须由响应文件签署人签字并加盖公章。</w:t>
      </w:r>
    </w:p>
    <w:p>
      <w:pPr>
        <w:spacing w:line="360" w:lineRule="auto"/>
        <w:ind w:firstLine="602" w:firstLineChars="250"/>
        <w:rPr>
          <w:rFonts w:ascii="宋体" w:hAnsi="宋体"/>
          <w:b/>
          <w:sz w:val="24"/>
          <w:szCs w:val="24"/>
        </w:rPr>
      </w:pPr>
      <w:r>
        <w:rPr>
          <w:rFonts w:hint="eastAsia" w:ascii="宋体" w:hAnsi="宋体"/>
          <w:b/>
          <w:sz w:val="24"/>
          <w:szCs w:val="24"/>
        </w:rPr>
        <w:t>13.4响应文件密封后应标明响应文件项目名称、项目编号、边缝处加盖单位骑缝章或骑缝签字，开标前不得启封。</w:t>
      </w:r>
    </w:p>
    <w:p>
      <w:pPr>
        <w:spacing w:line="360" w:lineRule="auto"/>
        <w:ind w:firstLine="602" w:firstLineChars="250"/>
        <w:rPr>
          <w:rFonts w:ascii="宋体" w:hAnsi="宋体"/>
          <w:b/>
          <w:sz w:val="24"/>
          <w:szCs w:val="24"/>
        </w:rPr>
      </w:pPr>
      <w:r>
        <w:rPr>
          <w:rFonts w:hint="eastAsia" w:ascii="宋体" w:hAnsi="宋体"/>
          <w:b/>
          <w:sz w:val="24"/>
          <w:szCs w:val="24"/>
        </w:rPr>
        <w:t>13.5递交时间：供应商须在规定的响应文件接收截止时间前送达指定地点。供应商上传谈判文件，即视为已响应参加政府采购活动。</w:t>
      </w:r>
    </w:p>
    <w:p>
      <w:pPr>
        <w:spacing w:line="360" w:lineRule="auto"/>
        <w:ind w:firstLine="361" w:firstLineChars="150"/>
        <w:rPr>
          <w:rFonts w:asciiTheme="majorEastAsia" w:hAnsiTheme="majorEastAsia" w:eastAsiaTheme="majorEastAsia"/>
          <w:sz w:val="24"/>
          <w:szCs w:val="24"/>
        </w:rPr>
      </w:pPr>
      <w:r>
        <w:rPr>
          <w:rFonts w:hint="eastAsia" w:ascii="宋体" w:hAnsi="宋体"/>
          <w:b/>
          <w:sz w:val="24"/>
          <w:szCs w:val="24"/>
        </w:rPr>
        <w:t>友情提醒：采购人将拒绝接收未按照文件要求密封的响应文件，拒绝接收在响应文件接收截止时间后递交的响应文件。如果供应商无故不到现场递交纸质文件、解密已上传谈判文件或者故意迟到，影响开评标活动正常进行的，根据《江苏省政府采购信用管理暂行办法》第九条的规定，将被列作一般失信行为。</w:t>
      </w:r>
    </w:p>
    <w:p>
      <w:pPr>
        <w:pStyle w:val="7"/>
        <w:spacing w:before="0" w:after="0" w:line="360" w:lineRule="auto"/>
        <w:ind w:firstLine="420" w:firstLineChars="150"/>
        <w:rPr>
          <w:rFonts w:asciiTheme="majorEastAsia" w:hAnsiTheme="majorEastAsia" w:eastAsiaTheme="majorEastAsia"/>
          <w:b w:val="0"/>
          <w:bCs w:val="0"/>
        </w:rPr>
      </w:pPr>
      <w:r>
        <w:rPr>
          <w:rFonts w:hint="eastAsia" w:asciiTheme="majorEastAsia" w:hAnsiTheme="majorEastAsia" w:eastAsiaTheme="majorEastAsia"/>
          <w:b w:val="0"/>
          <w:bCs w:val="0"/>
        </w:rPr>
        <w:t>14、投标保证金</w:t>
      </w:r>
      <w:bookmarkEnd w:id="108"/>
      <w:bookmarkEnd w:id="109"/>
      <w:r>
        <w:rPr>
          <w:rFonts w:hint="eastAsia" w:asciiTheme="majorEastAsia" w:hAnsiTheme="majorEastAsia" w:eastAsiaTheme="majorEastAsia"/>
          <w:b w:val="0"/>
          <w:bCs w:val="0"/>
        </w:rPr>
        <w:t>：壹万元整。</w:t>
      </w:r>
    </w:p>
    <w:p>
      <w:pPr>
        <w:pStyle w:val="7"/>
        <w:spacing w:before="0" w:after="0" w:line="360" w:lineRule="auto"/>
        <w:ind w:firstLine="420" w:firstLineChars="150"/>
        <w:rPr>
          <w:rFonts w:asciiTheme="majorEastAsia" w:hAnsiTheme="majorEastAsia" w:eastAsiaTheme="majorEastAsia"/>
          <w:b w:val="0"/>
          <w:bCs w:val="0"/>
        </w:rPr>
      </w:pPr>
      <w:bookmarkStart w:id="110" w:name="_Hlt26670489"/>
      <w:bookmarkEnd w:id="110"/>
      <w:bookmarkStart w:id="111" w:name="_Hlt26954850"/>
      <w:bookmarkEnd w:id="111"/>
      <w:bookmarkStart w:id="112" w:name="_Hlt26954734"/>
      <w:bookmarkEnd w:id="112"/>
      <w:bookmarkStart w:id="113" w:name="_Toc49090511"/>
      <w:bookmarkStart w:id="114" w:name="_Toc14577360"/>
      <w:r>
        <w:rPr>
          <w:rFonts w:hint="eastAsia" w:asciiTheme="majorEastAsia" w:hAnsiTheme="majorEastAsia" w:eastAsiaTheme="majorEastAsia"/>
          <w:b w:val="0"/>
          <w:bCs w:val="0"/>
        </w:rPr>
        <w:t>15、投标有效期</w:t>
      </w:r>
      <w:bookmarkEnd w:id="113"/>
      <w:bookmarkEnd w:id="114"/>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15.1</w:t>
      </w:r>
      <w:r>
        <w:rPr>
          <w:rFonts w:hint="eastAsia" w:asciiTheme="majorEastAsia" w:hAnsiTheme="majorEastAsia" w:eastAsiaTheme="majorEastAsia"/>
          <w:bCs/>
          <w:sz w:val="24"/>
        </w:rPr>
        <w:t xml:space="preserve"> 投标有效期为采购人规定的开标之日后六十天。投标有效期比规定短的将被视为非响应性投标而予以拒绝。</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15.2</w:t>
      </w:r>
      <w:r>
        <w:rPr>
          <w:rFonts w:hint="eastAsia" w:asciiTheme="majorEastAsia" w:hAnsiTheme="majorEastAsia" w:eastAsiaTheme="majorEastAsia"/>
          <w:bCs/>
          <w:sz w:val="24"/>
        </w:rPr>
        <w:t xml:space="preserve"> 在特殊情况下，采购人于原投标有效期满之前，可向投标人提出延长投标有效期的要求。这种要求与答复均应采用书面形式。</w:t>
      </w:r>
      <w:bookmarkStart w:id="115" w:name="_Hlt26954739"/>
      <w:bookmarkEnd w:id="115"/>
      <w:bookmarkStart w:id="116" w:name="_Hlt26954852"/>
      <w:bookmarkEnd w:id="116"/>
    </w:p>
    <w:p>
      <w:pPr>
        <w:pStyle w:val="2"/>
        <w:rPr>
          <w:rFonts w:asciiTheme="majorEastAsia" w:hAnsiTheme="majorEastAsia" w:eastAsiaTheme="majorEastAsia"/>
        </w:rPr>
      </w:pPr>
    </w:p>
    <w:p>
      <w:pPr>
        <w:pStyle w:val="6"/>
        <w:spacing w:beforeLines="50" w:afterLines="50" w:line="360" w:lineRule="auto"/>
        <w:ind w:firstLine="422" w:firstLineChars="150"/>
        <w:jc w:val="center"/>
        <w:rPr>
          <w:rFonts w:asciiTheme="majorEastAsia" w:hAnsiTheme="majorEastAsia" w:eastAsiaTheme="majorEastAsia"/>
          <w:sz w:val="28"/>
          <w:szCs w:val="28"/>
        </w:rPr>
      </w:pPr>
      <w:bookmarkStart w:id="117" w:name="_Toc16938545"/>
      <w:bookmarkStart w:id="118" w:name="_Toc120614218"/>
      <w:bookmarkStart w:id="119" w:name="_Toc20823301"/>
      <w:bookmarkStart w:id="120" w:name="_Toc513029229"/>
      <w:r>
        <w:rPr>
          <w:rFonts w:hint="eastAsia" w:asciiTheme="majorEastAsia" w:hAnsiTheme="majorEastAsia" w:eastAsiaTheme="majorEastAsia"/>
          <w:sz w:val="28"/>
          <w:szCs w:val="28"/>
        </w:rPr>
        <w:t>四、开标与评标</w:t>
      </w:r>
      <w:bookmarkEnd w:id="117"/>
      <w:bookmarkEnd w:id="118"/>
      <w:bookmarkEnd w:id="119"/>
      <w:bookmarkEnd w:id="120"/>
    </w:p>
    <w:p>
      <w:pPr>
        <w:pStyle w:val="7"/>
        <w:spacing w:before="0" w:after="0" w:line="360" w:lineRule="auto"/>
        <w:ind w:firstLine="420" w:firstLineChars="150"/>
        <w:rPr>
          <w:rFonts w:asciiTheme="majorEastAsia" w:hAnsiTheme="majorEastAsia" w:eastAsiaTheme="majorEastAsia"/>
          <w:b w:val="0"/>
          <w:bCs w:val="0"/>
          <w:highlight w:val="yellow"/>
        </w:rPr>
      </w:pPr>
      <w:bookmarkStart w:id="121" w:name="_Toc513029230"/>
      <w:bookmarkStart w:id="122" w:name="_Toc20823302"/>
      <w:bookmarkStart w:id="123" w:name="_Toc16938546"/>
      <w:bookmarkStart w:id="124" w:name="_Toc513029231"/>
      <w:bookmarkStart w:id="125" w:name="_Toc16938547"/>
      <w:bookmarkStart w:id="126" w:name="_Toc20823303"/>
      <w:r>
        <w:rPr>
          <w:rFonts w:hint="eastAsia" w:asciiTheme="majorEastAsia" w:hAnsiTheme="majorEastAsia" w:eastAsiaTheme="majorEastAsia"/>
          <w:b w:val="0"/>
          <w:bCs w:val="0"/>
          <w:highlight w:val="yellow"/>
        </w:rPr>
        <w:t>16、开标</w:t>
      </w:r>
      <w:bookmarkEnd w:id="121"/>
      <w:bookmarkEnd w:id="122"/>
      <w:bookmarkEnd w:id="123"/>
    </w:p>
    <w:p>
      <w:pPr>
        <w:spacing w:line="360" w:lineRule="auto"/>
        <w:ind w:firstLine="480" w:firstLineChars="200"/>
        <w:rPr>
          <w:highlight w:val="yellow"/>
        </w:rPr>
      </w:pPr>
      <w:r>
        <w:rPr>
          <w:rFonts w:hint="eastAsia" w:ascii="宋体" w:hAnsi="宋体" w:cs="宋体"/>
          <w:color w:val="000000"/>
          <w:sz w:val="24"/>
          <w:szCs w:val="24"/>
          <w:highlight w:val="yellow"/>
        </w:rPr>
        <w:t>16.1开标时间和地点：南通港口集团有限公司十楼会议室（）</w:t>
      </w:r>
    </w:p>
    <w:p>
      <w:pPr>
        <w:pStyle w:val="6"/>
        <w:widowControl/>
        <w:ind w:firstLine="480" w:firstLineChars="200"/>
        <w:rPr>
          <w:rFonts w:ascii="宋体" w:hAnsi="宋体" w:eastAsia="宋体" w:cs="宋体"/>
          <w:b w:val="0"/>
          <w:color w:val="000000"/>
          <w:sz w:val="24"/>
          <w:szCs w:val="24"/>
          <w:highlight w:val="yellow"/>
        </w:rPr>
      </w:pPr>
      <w:r>
        <w:rPr>
          <w:rFonts w:hint="eastAsia" w:ascii="宋体" w:hAnsi="宋体" w:eastAsia="宋体" w:cs="宋体"/>
          <w:b w:val="0"/>
          <w:color w:val="000000"/>
          <w:sz w:val="24"/>
          <w:szCs w:val="24"/>
          <w:highlight w:val="yellow"/>
        </w:rPr>
        <w:t>16.2开标程序</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16.2.1 主持人按下列程序进行开标：</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（1）宣布开标纪律；</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（2）公布在投标截止时间前递交投标文件的投标人名称；</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（3）宣布相关参会人员姓名；</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（4）检查投标文件的密封情况；</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（5）当众开标、唱标，并记录在案；</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（6）相关参会人员在开标记录上签字确认；</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（7）开标结束。</w:t>
      </w:r>
    </w:p>
    <w:p>
      <w:pPr>
        <w:widowControl/>
        <w:ind w:firstLine="480" w:firstLineChars="200"/>
        <w:jc w:val="left"/>
        <w:rPr>
          <w:sz w:val="24"/>
          <w:szCs w:val="24"/>
        </w:rPr>
      </w:pPr>
      <w:r>
        <w:rPr>
          <w:rFonts w:hint="eastAsia" w:ascii="宋体" w:hAnsi="宋体" w:cs="宋体"/>
          <w:color w:val="000000"/>
          <w:sz w:val="24"/>
          <w:szCs w:val="24"/>
          <w:highlight w:val="white"/>
        </w:rPr>
        <w:t>16.2.2投标人对开标有异议的，应当在开标现场提出，招标人应当当场作出答复，并制作记录。</w:t>
      </w:r>
    </w:p>
    <w:p>
      <w:pPr>
        <w:pStyle w:val="7"/>
        <w:spacing w:before="0" w:after="0" w:line="360" w:lineRule="auto"/>
        <w:ind w:firstLine="420" w:firstLineChars="150"/>
        <w:rPr>
          <w:rFonts w:asciiTheme="majorEastAsia" w:hAnsiTheme="majorEastAsia" w:eastAsiaTheme="majorEastAsia"/>
          <w:b w:val="0"/>
          <w:bCs w:val="0"/>
        </w:rPr>
      </w:pPr>
      <w:r>
        <w:rPr>
          <w:rFonts w:hint="eastAsia" w:asciiTheme="majorEastAsia" w:hAnsiTheme="majorEastAsia" w:eastAsiaTheme="majorEastAsia"/>
          <w:b w:val="0"/>
          <w:bCs w:val="0"/>
        </w:rPr>
        <w:t>17、评标委员会</w:t>
      </w:r>
    </w:p>
    <w:p>
      <w:pPr>
        <w:spacing w:line="360" w:lineRule="auto"/>
        <w:rPr>
          <w:rFonts w:asciiTheme="majorEastAsia" w:hAnsiTheme="majorEastAsia" w:eastAsiaTheme="majorEastAsia"/>
          <w:b/>
          <w:sz w:val="24"/>
          <w:szCs w:val="24"/>
        </w:rPr>
      </w:pPr>
      <w:r>
        <w:rPr>
          <w:rFonts w:hint="eastAsia" w:asciiTheme="majorEastAsia" w:hAnsiTheme="majorEastAsia" w:eastAsiaTheme="majorEastAsia"/>
          <w:sz w:val="24"/>
          <w:szCs w:val="24"/>
        </w:rPr>
        <w:t xml:space="preserve">    17.1开标后，采购人将立即组织评标委员会（以下简称评委会）进行评标。</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17.2 评委会由有关技术、经济等方面的专家3人组成，且人员构成符合采购有关规定。</w:t>
      </w:r>
    </w:p>
    <w:p>
      <w:pPr>
        <w:spacing w:line="360" w:lineRule="auto"/>
        <w:ind w:firstLine="360" w:firstLineChars="15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17.3评委会独立工作，负责评审所有投标文件并推荐中标人。</w:t>
      </w:r>
    </w:p>
    <w:p>
      <w:pPr>
        <w:pStyle w:val="7"/>
        <w:spacing w:before="0" w:after="0" w:line="360" w:lineRule="auto"/>
        <w:ind w:firstLine="420" w:firstLineChars="150"/>
        <w:rPr>
          <w:rFonts w:asciiTheme="majorEastAsia" w:hAnsiTheme="majorEastAsia" w:eastAsiaTheme="majorEastAsia"/>
          <w:b w:val="0"/>
          <w:bCs w:val="0"/>
        </w:rPr>
      </w:pPr>
      <w:r>
        <w:rPr>
          <w:rFonts w:hint="eastAsia" w:asciiTheme="majorEastAsia" w:hAnsiTheme="majorEastAsia" w:eastAsiaTheme="majorEastAsia"/>
          <w:b w:val="0"/>
          <w:bCs w:val="0"/>
        </w:rPr>
        <w:t>18．评标过程的保密与公正</w:t>
      </w:r>
    </w:p>
    <w:bookmarkEnd w:id="124"/>
    <w:bookmarkEnd w:id="125"/>
    <w:bookmarkEnd w:id="126"/>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18.1</w:t>
      </w:r>
      <w:r>
        <w:rPr>
          <w:rFonts w:hint="eastAsia" w:asciiTheme="majorEastAsia" w:hAnsiTheme="majorEastAsia" w:eastAsiaTheme="majorEastAsia"/>
          <w:bCs/>
          <w:sz w:val="24"/>
        </w:rPr>
        <w:t>公开开标后，直至向中标的投标人授予合同时止，凡是与审查、澄清、评价和比较投标的有关资料以及授标建议等，采购人、评委、采购代理机构均不得向投标人或与评标无关的其他人员透露。</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18.2</w:t>
      </w:r>
      <w:r>
        <w:rPr>
          <w:rFonts w:hint="eastAsia" w:asciiTheme="majorEastAsia" w:hAnsiTheme="majorEastAsia" w:eastAsiaTheme="majorEastAsia"/>
          <w:bCs/>
          <w:sz w:val="24"/>
        </w:rPr>
        <w:t>由采购人代表对投标人资格性、符合性审查，对未通过审查的供应商，应现场告知原因。</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rPr>
        <w:t>18.3</w:t>
      </w:r>
      <w:r>
        <w:rPr>
          <w:rFonts w:hint="eastAsia" w:asciiTheme="majorEastAsia" w:hAnsiTheme="majorEastAsia" w:eastAsiaTheme="majorEastAsia"/>
          <w:sz w:val="24"/>
          <w:szCs w:val="24"/>
        </w:rPr>
        <w:t>在评标过程中，投标人不得以任何行为影响评标过程，否则其投标文件将被作为无效投标文件。</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rPr>
        <w:t>18.4</w:t>
      </w:r>
      <w:r>
        <w:rPr>
          <w:rFonts w:hint="eastAsia" w:asciiTheme="majorEastAsia" w:hAnsiTheme="majorEastAsia" w:eastAsiaTheme="majorEastAsia"/>
          <w:sz w:val="24"/>
          <w:szCs w:val="24"/>
        </w:rPr>
        <w:t>在评标期间，采购人或采购代理机构将设专门人员与投标人联系。</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18.5采购人代表现场宣布评标结果。</w:t>
      </w:r>
    </w:p>
    <w:p>
      <w:pPr>
        <w:pStyle w:val="7"/>
        <w:spacing w:before="0" w:after="0" w:line="360" w:lineRule="auto"/>
        <w:ind w:firstLine="420" w:firstLineChars="150"/>
        <w:rPr>
          <w:rFonts w:asciiTheme="majorEastAsia" w:hAnsiTheme="majorEastAsia" w:eastAsiaTheme="majorEastAsia"/>
          <w:b w:val="0"/>
          <w:bCs w:val="0"/>
        </w:rPr>
      </w:pPr>
      <w:bookmarkStart w:id="127" w:name="_Toc513029232"/>
      <w:bookmarkStart w:id="128" w:name="_Toc16938548"/>
      <w:bookmarkStart w:id="129" w:name="_Toc20823304"/>
      <w:r>
        <w:rPr>
          <w:rFonts w:hint="eastAsia" w:asciiTheme="majorEastAsia" w:hAnsiTheme="majorEastAsia" w:eastAsiaTheme="majorEastAsia"/>
          <w:b w:val="0"/>
          <w:bCs w:val="0"/>
        </w:rPr>
        <w:t>19．投标的澄清</w:t>
      </w:r>
      <w:bookmarkEnd w:id="127"/>
      <w:bookmarkEnd w:id="128"/>
      <w:bookmarkEnd w:id="129"/>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19.</w:t>
      </w:r>
      <w:r>
        <w:rPr>
          <w:rFonts w:asciiTheme="majorEastAsia" w:hAnsiTheme="majorEastAsia" w:eastAsiaTheme="majorEastAsia"/>
          <w:sz w:val="24"/>
          <w:szCs w:val="24"/>
        </w:rPr>
        <w:t>1</w:t>
      </w:r>
      <w:r>
        <w:rPr>
          <w:rFonts w:hint="eastAsia" w:asciiTheme="majorEastAsia" w:hAnsiTheme="majorEastAsia" w:eastAsiaTheme="majorEastAsia"/>
          <w:sz w:val="24"/>
          <w:szCs w:val="24"/>
        </w:rPr>
        <w:t>评标期间，为有助于对投标文件的审查、评价和比较，评委会有权以书面形式要求投标人对其投标文件进行澄清，但并非对每个投标人都作澄清要求。</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19.2接到评委会澄清要求的投标人应派人按评委会通知的时间和地点做出书面澄清，书面澄清的内容须由投标人法人或授权代表签署，并作为投标文件的补充部分，但投标的价格和实质性的内容不得做任何更改。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19.3 接到评委会澄清要求的投标人如未按规定做出澄清，其风险由投标人自行承担。</w:t>
      </w:r>
    </w:p>
    <w:p>
      <w:pPr>
        <w:pStyle w:val="7"/>
        <w:spacing w:before="0" w:after="0" w:line="360" w:lineRule="auto"/>
        <w:ind w:firstLine="420" w:firstLineChars="150"/>
        <w:rPr>
          <w:rFonts w:asciiTheme="majorEastAsia" w:hAnsiTheme="majorEastAsia" w:eastAsiaTheme="majorEastAsia"/>
          <w:b w:val="0"/>
          <w:bCs w:val="0"/>
        </w:rPr>
      </w:pPr>
      <w:bookmarkStart w:id="130" w:name="_Toc16938549"/>
      <w:bookmarkStart w:id="131" w:name="_Toc20823305"/>
      <w:bookmarkStart w:id="132" w:name="_Toc513029233"/>
      <w:r>
        <w:rPr>
          <w:rFonts w:hint="eastAsia" w:asciiTheme="majorEastAsia" w:hAnsiTheme="majorEastAsia" w:eastAsiaTheme="majorEastAsia"/>
          <w:b w:val="0"/>
          <w:bCs w:val="0"/>
        </w:rPr>
        <w:t>20、对投标文件的初审</w:t>
      </w:r>
      <w:bookmarkEnd w:id="130"/>
      <w:bookmarkEnd w:id="131"/>
      <w:bookmarkEnd w:id="132"/>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20.1</w:t>
      </w:r>
      <w:r>
        <w:rPr>
          <w:rFonts w:hint="eastAsia" w:asciiTheme="majorEastAsia" w:hAnsiTheme="majorEastAsia" w:eastAsiaTheme="majorEastAsia"/>
          <w:bCs/>
          <w:sz w:val="24"/>
        </w:rPr>
        <w:t>投标文件初审为资格性检查及符合性检查。由评委会负责实施。</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资格性检查：依据法律法规和招标文件的规定，对投标文件中的资格证明文件、投标保证金等进行审查，以确定投标供应商是否具备投标资格。</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bCs/>
          <w:sz w:val="24"/>
        </w:rPr>
        <w:t>凡在</w:t>
      </w:r>
      <w:r>
        <w:rPr>
          <w:rFonts w:hint="eastAsia" w:asciiTheme="majorEastAsia" w:hAnsiTheme="majorEastAsia" w:eastAsiaTheme="majorEastAsia"/>
          <w:sz w:val="24"/>
          <w:szCs w:val="24"/>
        </w:rPr>
        <w:t>投标截止时间节点，已被 “信用中国”网站(</w:t>
      </w:r>
      <w:r>
        <w:fldChar w:fldCharType="begin"/>
      </w:r>
      <w:r>
        <w:instrText xml:space="preserve"> HYPERLINK "http://www.creditchina.gov.cn" </w:instrText>
      </w:r>
      <w:r>
        <w:fldChar w:fldCharType="separate"/>
      </w:r>
      <w:r>
        <w:rPr>
          <w:rStyle w:val="64"/>
          <w:rFonts w:hint="eastAsia" w:asciiTheme="majorEastAsia" w:hAnsiTheme="majorEastAsia" w:eastAsiaTheme="majorEastAsia"/>
          <w:color w:val="auto"/>
          <w:sz w:val="24"/>
          <w:szCs w:val="24"/>
        </w:rPr>
        <w:t>www.creditchina.gov.cn</w:t>
      </w:r>
      <w:r>
        <w:rPr>
          <w:rStyle w:val="64"/>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sz w:val="24"/>
          <w:szCs w:val="24"/>
        </w:rPr>
        <w:t>)、中华人民</w:t>
      </w:r>
      <w:r>
        <w:rPr>
          <w:rFonts w:asciiTheme="majorEastAsia" w:hAnsiTheme="majorEastAsia" w:eastAsiaTheme="majorEastAsia"/>
          <w:sz w:val="24"/>
          <w:szCs w:val="24"/>
        </w:rPr>
        <w:t>共和国</w:t>
      </w:r>
      <w:r>
        <w:rPr>
          <w:rFonts w:hint="eastAsia" w:asciiTheme="majorEastAsia" w:hAnsiTheme="majorEastAsia" w:eastAsiaTheme="majorEastAsia"/>
          <w:sz w:val="24"/>
          <w:szCs w:val="24"/>
        </w:rPr>
        <w:t>最高人民法院网站</w:t>
      </w:r>
      <w:r>
        <w:rPr>
          <w:rFonts w:asciiTheme="majorEastAsia" w:hAnsiTheme="majorEastAsia" w:eastAsiaTheme="majorEastAsia"/>
          <w:sz w:val="24"/>
          <w:szCs w:val="24"/>
        </w:rPr>
        <w:t>（</w:t>
      </w:r>
      <w:r>
        <w:fldChar w:fldCharType="begin"/>
      </w:r>
      <w:r>
        <w:instrText xml:space="preserve"> HYPERLINK "http://www.court.gov.cn/" </w:instrText>
      </w:r>
      <w:r>
        <w:fldChar w:fldCharType="separate"/>
      </w:r>
      <w:r>
        <w:rPr>
          <w:rStyle w:val="64"/>
          <w:rFonts w:asciiTheme="majorEastAsia" w:hAnsiTheme="majorEastAsia" w:eastAsiaTheme="majorEastAsia"/>
          <w:color w:val="auto"/>
          <w:sz w:val="24"/>
          <w:szCs w:val="24"/>
        </w:rPr>
        <w:t>http://www.court.gov.cn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等渠道列入信用记录失信被执行人，被中国政府采购网(</w:t>
      </w:r>
      <w:r>
        <w:fldChar w:fldCharType="begin"/>
      </w:r>
      <w:r>
        <w:instrText xml:space="preserve"> HYPERLINK "http://www.ccgp.gov.cn" </w:instrText>
      </w:r>
      <w:r>
        <w:fldChar w:fldCharType="separate"/>
      </w:r>
      <w:r>
        <w:rPr>
          <w:rStyle w:val="64"/>
          <w:rFonts w:hint="eastAsia" w:asciiTheme="majorEastAsia" w:hAnsiTheme="majorEastAsia" w:eastAsiaTheme="majorEastAsia"/>
          <w:color w:val="auto"/>
          <w:sz w:val="24"/>
          <w:szCs w:val="24"/>
        </w:rPr>
        <w:t>www.ccgp.gov.cn</w:t>
      </w:r>
      <w:r>
        <w:rPr>
          <w:rStyle w:val="64"/>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sz w:val="24"/>
          <w:szCs w:val="24"/>
        </w:rPr>
        <w:t>)等渠道列入政府采购严重违法失信行为记录名单，被中华人民共和国应急管理部网站</w:t>
      </w:r>
      <w:r>
        <w:rPr>
          <w:rFonts w:asciiTheme="majorEastAsia" w:hAnsiTheme="majorEastAsia" w:eastAsiaTheme="majorEastAsia"/>
          <w:sz w:val="24"/>
          <w:szCs w:val="24"/>
        </w:rPr>
        <w:t>（</w:t>
      </w:r>
      <w:r>
        <w:fldChar w:fldCharType="begin"/>
      </w:r>
      <w:r>
        <w:instrText xml:space="preserve"> HYPERLINK "http://www.chinasafety.gov.cn/" </w:instrText>
      </w:r>
      <w:r>
        <w:fldChar w:fldCharType="separate"/>
      </w:r>
      <w:r>
        <w:rPr>
          <w:rStyle w:val="64"/>
          <w:rFonts w:asciiTheme="majorEastAsia" w:hAnsiTheme="majorEastAsia" w:eastAsiaTheme="majorEastAsia"/>
          <w:color w:val="auto"/>
          <w:sz w:val="24"/>
          <w:szCs w:val="24"/>
        </w:rPr>
        <w:t>http://www.chinasafety.gov.cn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等渠道列入</w:t>
      </w:r>
      <w:r>
        <w:rPr>
          <w:rFonts w:asciiTheme="majorEastAsia" w:hAnsiTheme="majorEastAsia" w:eastAsiaTheme="majorEastAsia"/>
          <w:sz w:val="24"/>
          <w:szCs w:val="24"/>
        </w:rPr>
        <w:t>安全生产失信联合惩戒“</w:t>
      </w:r>
      <w:r>
        <w:rPr>
          <w:rFonts w:hint="eastAsia" w:asciiTheme="majorEastAsia" w:hAnsiTheme="majorEastAsia" w:eastAsiaTheme="majorEastAsia"/>
          <w:sz w:val="24"/>
          <w:szCs w:val="24"/>
        </w:rPr>
        <w:t>黑名单</w:t>
      </w:r>
      <w:r>
        <w:rPr>
          <w:rFonts w:asciiTheme="majorEastAsia" w:hAnsiTheme="majorEastAsia" w:eastAsiaTheme="majorEastAsia"/>
          <w:sz w:val="24"/>
          <w:szCs w:val="24"/>
        </w:rPr>
        <w:t>”</w:t>
      </w:r>
      <w:r>
        <w:rPr>
          <w:rFonts w:hint="eastAsia" w:asciiTheme="majorEastAsia" w:hAnsiTheme="majorEastAsia" w:eastAsiaTheme="majorEastAsia"/>
          <w:sz w:val="24"/>
          <w:szCs w:val="24"/>
        </w:rPr>
        <w:t>，被国家税务总局</w:t>
      </w:r>
      <w:r>
        <w:rPr>
          <w:rFonts w:asciiTheme="majorEastAsia" w:hAnsiTheme="majorEastAsia" w:eastAsiaTheme="majorEastAsia"/>
          <w:sz w:val="24"/>
          <w:szCs w:val="24"/>
        </w:rPr>
        <w:t>网站（</w:t>
      </w:r>
      <w:r>
        <w:fldChar w:fldCharType="begin"/>
      </w:r>
      <w:r>
        <w:instrText xml:space="preserve"> HYPERLINK "http://hd.chinatax.gov.cn/xxk/" </w:instrText>
      </w:r>
      <w:r>
        <w:fldChar w:fldCharType="separate"/>
      </w:r>
      <w:r>
        <w:rPr>
          <w:rStyle w:val="64"/>
          <w:rFonts w:asciiTheme="majorEastAsia" w:hAnsiTheme="majorEastAsia" w:eastAsiaTheme="majorEastAsia"/>
          <w:color w:val="auto"/>
          <w:sz w:val="24"/>
          <w:szCs w:val="24"/>
        </w:rPr>
        <w:t>http://hd.chinatax.gov.cn/xxk</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w:t>
      </w:r>
      <w:r>
        <w:rPr>
          <w:rFonts w:asciiTheme="majorEastAsia" w:hAnsiTheme="majorEastAsia" w:eastAsiaTheme="majorEastAsia"/>
          <w:sz w:val="24"/>
          <w:szCs w:val="24"/>
        </w:rPr>
        <w:t>列入</w:t>
      </w:r>
      <w:r>
        <w:rPr>
          <w:rFonts w:hint="eastAsia" w:asciiTheme="majorEastAsia" w:hAnsiTheme="majorEastAsia" w:eastAsiaTheme="majorEastAsia"/>
          <w:sz w:val="24"/>
          <w:szCs w:val="24"/>
        </w:rPr>
        <w:t>重大税收违法案件当事人名单，被国家企业</w:t>
      </w:r>
      <w:r>
        <w:rPr>
          <w:rFonts w:asciiTheme="majorEastAsia" w:hAnsiTheme="majorEastAsia" w:eastAsiaTheme="majorEastAsia"/>
          <w:sz w:val="24"/>
          <w:szCs w:val="24"/>
        </w:rPr>
        <w:t>信用信息公示系统（</w:t>
      </w:r>
      <w:r>
        <w:fldChar w:fldCharType="begin"/>
      </w:r>
      <w:r>
        <w:instrText xml:space="preserve"> HYPERLINK "http://www.gsxt.gov.cn" </w:instrText>
      </w:r>
      <w:r>
        <w:fldChar w:fldCharType="separate"/>
      </w:r>
      <w:r>
        <w:rPr>
          <w:rStyle w:val="64"/>
          <w:rFonts w:asciiTheme="majorEastAsia" w:hAnsiTheme="majorEastAsia" w:eastAsiaTheme="majorEastAsia"/>
          <w:color w:val="auto"/>
          <w:sz w:val="24"/>
          <w:szCs w:val="24"/>
        </w:rPr>
        <w:t>http://www.gsxt.gov.cn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w:t>
      </w:r>
      <w:r>
        <w:rPr>
          <w:rFonts w:asciiTheme="majorEastAsia" w:hAnsiTheme="majorEastAsia" w:eastAsiaTheme="majorEastAsia"/>
          <w:sz w:val="24"/>
          <w:szCs w:val="24"/>
        </w:rPr>
        <w:t>列入</w:t>
      </w:r>
      <w:r>
        <w:rPr>
          <w:rFonts w:hint="eastAsia" w:asciiTheme="majorEastAsia" w:hAnsiTheme="majorEastAsia" w:eastAsiaTheme="majorEastAsia"/>
          <w:sz w:val="24"/>
          <w:szCs w:val="24"/>
        </w:rPr>
        <w:t>经营异常名录、严重违法</w:t>
      </w:r>
      <w:r>
        <w:rPr>
          <w:rFonts w:asciiTheme="majorEastAsia" w:hAnsiTheme="majorEastAsia" w:eastAsiaTheme="majorEastAsia"/>
          <w:sz w:val="24"/>
          <w:szCs w:val="24"/>
        </w:rPr>
        <w:t>失信企业名单</w:t>
      </w:r>
      <w:r>
        <w:rPr>
          <w:rFonts w:hint="eastAsia" w:asciiTheme="majorEastAsia" w:hAnsiTheme="majorEastAsia" w:eastAsiaTheme="majorEastAsia"/>
          <w:sz w:val="24"/>
          <w:szCs w:val="24"/>
        </w:rPr>
        <w:t>，被</w:t>
      </w:r>
      <w:r>
        <w:rPr>
          <w:rFonts w:asciiTheme="majorEastAsia" w:hAnsiTheme="majorEastAsia" w:eastAsiaTheme="majorEastAsia"/>
          <w:sz w:val="24"/>
          <w:szCs w:val="24"/>
        </w:rPr>
        <w:t>全国公共资源交易平台（</w:t>
      </w:r>
      <w:r>
        <w:fldChar w:fldCharType="begin"/>
      </w:r>
      <w:r>
        <w:instrText xml:space="preserve"> HYPERLINK "http://www.ggzy.gov.cn" </w:instrText>
      </w:r>
      <w:r>
        <w:fldChar w:fldCharType="separate"/>
      </w:r>
      <w:r>
        <w:rPr>
          <w:rStyle w:val="64"/>
          <w:rFonts w:asciiTheme="majorEastAsia" w:hAnsiTheme="majorEastAsia" w:eastAsiaTheme="majorEastAsia"/>
          <w:color w:val="auto"/>
          <w:sz w:val="24"/>
          <w:szCs w:val="24"/>
        </w:rPr>
        <w:t>http://www.ggzy.gov.cn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w:t>
      </w:r>
      <w:r>
        <w:rPr>
          <w:rFonts w:asciiTheme="majorEastAsia" w:hAnsiTheme="majorEastAsia" w:eastAsiaTheme="majorEastAsia"/>
          <w:sz w:val="24"/>
          <w:szCs w:val="24"/>
        </w:rPr>
        <w:t>列入</w:t>
      </w:r>
      <w:r>
        <w:rPr>
          <w:rFonts w:hint="eastAsia" w:asciiTheme="majorEastAsia" w:hAnsiTheme="majorEastAsia" w:eastAsiaTheme="majorEastAsia"/>
          <w:sz w:val="24"/>
          <w:szCs w:val="24"/>
        </w:rPr>
        <w:t>黑名单的投标人，将拒绝其参加采购活动。</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符合性检查：依据招标文件的规定，从投标文件的有效性、完整性和对招标文件的响应程度进行审查，以确定是否对招标文件的实质性要求作出响应。</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rPr>
        <w:t>20.2</w:t>
      </w:r>
      <w:r>
        <w:rPr>
          <w:rFonts w:hint="eastAsia" w:asciiTheme="majorEastAsia" w:hAnsiTheme="majorEastAsia" w:eastAsiaTheme="majorEastAsia"/>
          <w:sz w:val="24"/>
          <w:szCs w:val="24"/>
        </w:rPr>
        <w:t>在详细评标之前，评委会将首先审查每份投标文件是否实质性响应了招标文件的要求。实质性响应的投标应该是与招标文件要求的全部条款、条件和规格相符，没有重大偏离或保留的投标。</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hint="eastAsia" w:asciiTheme="majorEastAsia" w:hAnsiTheme="majorEastAsia" w:eastAsiaTheme="majorEastAsia"/>
          <w:bCs/>
          <w:sz w:val="24"/>
        </w:rPr>
        <w:t>评委决定投标文件的响应性只根据投标文件本身的内容，而不寻求外部的证据。</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20.3</w:t>
      </w:r>
      <w:r>
        <w:rPr>
          <w:rFonts w:hint="eastAsia" w:asciiTheme="majorEastAsia" w:hAnsiTheme="majorEastAsia" w:eastAsiaTheme="majorEastAsia"/>
          <w:bCs/>
          <w:sz w:val="24"/>
        </w:rPr>
        <w:t>如果投标文件实质上没有响应招标文件的要求，评委会将予以拒绝，投标人不得通过修改或撤销不合要求的偏离或保留而使其投标成为实质性响应的投标。</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20.4</w:t>
      </w:r>
      <w:r>
        <w:rPr>
          <w:rFonts w:hint="eastAsia" w:asciiTheme="majorEastAsia" w:hAnsiTheme="majorEastAsia" w:eastAsiaTheme="majorEastAsia"/>
          <w:bCs/>
          <w:sz w:val="24"/>
        </w:rPr>
        <w:t>评委会将对确定为实质性响应的投标进行进一步审核，对投标文件中大小写金额不一致等问题的评审原则如下：</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质疑的，以中文文本为准。</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20.5</w:t>
      </w:r>
      <w:r>
        <w:rPr>
          <w:rFonts w:hint="eastAsia" w:asciiTheme="majorEastAsia" w:hAnsiTheme="majorEastAsia" w:eastAsiaTheme="majorEastAsia"/>
          <w:bCs/>
          <w:sz w:val="24"/>
        </w:rPr>
        <w:t>评委会将按上述修正错误的方法修正投标文件中的投标报价，修正后的价格经投标人确认后具有约束力。如果投标人不确认的，则其投标将被拒绝，其投标保证金不予退还。</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20.6</w:t>
      </w:r>
      <w:r>
        <w:rPr>
          <w:rFonts w:hint="eastAsia" w:asciiTheme="majorEastAsia" w:hAnsiTheme="majorEastAsia" w:eastAsiaTheme="majorEastAsia"/>
          <w:bCs/>
          <w:sz w:val="24"/>
        </w:rPr>
        <w:t xml:space="preserve"> 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pPr>
        <w:pStyle w:val="7"/>
        <w:spacing w:before="0" w:after="0" w:line="360" w:lineRule="auto"/>
        <w:ind w:firstLine="420" w:firstLineChars="150"/>
        <w:rPr>
          <w:rFonts w:asciiTheme="majorEastAsia" w:hAnsiTheme="majorEastAsia" w:eastAsiaTheme="majorEastAsia"/>
          <w:b w:val="0"/>
          <w:bCs w:val="0"/>
        </w:rPr>
      </w:pPr>
      <w:bookmarkStart w:id="133" w:name="_Toc513029234"/>
      <w:bookmarkStart w:id="134" w:name="_Toc20823306"/>
      <w:bookmarkStart w:id="135" w:name="_Toc16938550"/>
      <w:r>
        <w:rPr>
          <w:rFonts w:hint="eastAsia" w:asciiTheme="majorEastAsia" w:hAnsiTheme="majorEastAsia" w:eastAsiaTheme="majorEastAsia"/>
          <w:b w:val="0"/>
          <w:bCs w:val="0"/>
        </w:rPr>
        <w:t>21、</w:t>
      </w:r>
      <w:bookmarkEnd w:id="133"/>
      <w:bookmarkEnd w:id="134"/>
      <w:bookmarkEnd w:id="135"/>
      <w:r>
        <w:rPr>
          <w:rFonts w:hint="eastAsia" w:asciiTheme="majorEastAsia" w:hAnsiTheme="majorEastAsia" w:eastAsiaTheme="majorEastAsia"/>
          <w:b w:val="0"/>
          <w:bCs w:val="0"/>
        </w:rPr>
        <w:t>无效投标条款和废标条款</w:t>
      </w:r>
    </w:p>
    <w:p>
      <w:pPr>
        <w:spacing w:line="360" w:lineRule="auto"/>
        <w:ind w:left="479" w:leftChars="228"/>
        <w:rPr>
          <w:rFonts w:asciiTheme="majorEastAsia" w:hAnsiTheme="majorEastAsia" w:eastAsiaTheme="majorEastAsia"/>
          <w:bCs/>
          <w:sz w:val="24"/>
        </w:rPr>
      </w:pPr>
      <w:bookmarkStart w:id="136" w:name="_Toc513029235"/>
      <w:bookmarkStart w:id="137" w:name="_Toc16938551"/>
      <w:bookmarkStart w:id="138" w:name="_Toc20823307"/>
      <w:r>
        <w:rPr>
          <w:rFonts w:hint="eastAsia" w:asciiTheme="majorEastAsia" w:hAnsiTheme="majorEastAsia" w:eastAsiaTheme="majorEastAsia"/>
          <w:bCs/>
          <w:sz w:val="24"/>
        </w:rPr>
        <w:t>21.1无效投标条款</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21.1.1未按照招标文件的规定提交投标保证金的（本条不适用）；</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21.1.2投标文件未按招标文件要求签署、盖章的；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21.1.3投标人在报价时采用选择性报价；</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21.1.4不具备招标文件中规定的资格要求的；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21.1.5报价超过招标文件中规定的预算金额或者最高限价的；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21.1.6投标文件含有采购人不能接受的附加条件的;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21.1.7法律、法规和招标文件规定的其他无效情形；</w:t>
      </w:r>
    </w:p>
    <w:p>
      <w:pPr>
        <w:spacing w:line="360" w:lineRule="auto"/>
        <w:ind w:firstLine="480" w:firstLineChars="200"/>
        <w:rPr>
          <w:rFonts w:asciiTheme="majorEastAsia" w:hAnsiTheme="majorEastAsia" w:eastAsiaTheme="majorEastAsia"/>
          <w:bCs/>
          <w:i/>
          <w:sz w:val="24"/>
          <w:u w:val="single"/>
        </w:rPr>
      </w:pPr>
      <w:r>
        <w:rPr>
          <w:rFonts w:hint="eastAsia" w:asciiTheme="majorEastAsia" w:hAnsiTheme="majorEastAsia" w:eastAsiaTheme="majorEastAsia"/>
          <w:bCs/>
          <w:sz w:val="24"/>
        </w:rPr>
        <w:t>21.1.8未通过符合性检查的；</w:t>
      </w:r>
    </w:p>
    <w:p>
      <w:pPr>
        <w:spacing w:line="360" w:lineRule="auto"/>
        <w:ind w:firstLine="360" w:firstLineChars="150"/>
        <w:rPr>
          <w:rFonts w:asciiTheme="majorEastAsia" w:hAnsiTheme="majorEastAsia" w:eastAsiaTheme="majorEastAsia"/>
          <w:bCs/>
          <w:i/>
          <w:sz w:val="24"/>
        </w:rPr>
      </w:pPr>
      <w:r>
        <w:rPr>
          <w:rFonts w:hint="eastAsia" w:asciiTheme="majorEastAsia" w:hAnsiTheme="majorEastAsia" w:eastAsiaTheme="majorEastAsia"/>
          <w:bCs/>
          <w:sz w:val="24"/>
        </w:rPr>
        <w:t xml:space="preserve"> 21.1.9不符合招标文件中规定的其他实质性要求和条件的</w:t>
      </w:r>
      <w:r>
        <w:rPr>
          <w:rFonts w:hint="eastAsia" w:asciiTheme="majorEastAsia" w:hAnsiTheme="majorEastAsia" w:eastAsiaTheme="majorEastAsia"/>
          <w:bCs/>
          <w:i/>
          <w:sz w:val="24"/>
        </w:rPr>
        <w:t>；</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21.1.10其他法律、法规及本招标文件规定的属无效投标的情形。</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21.1.11资格审查文件</w:t>
      </w:r>
      <w:r>
        <w:rPr>
          <w:rFonts w:asciiTheme="majorEastAsia" w:hAnsiTheme="majorEastAsia" w:eastAsiaTheme="majorEastAsia"/>
          <w:bCs/>
          <w:sz w:val="24"/>
        </w:rPr>
        <w:t>出现</w:t>
      </w:r>
      <w:r>
        <w:rPr>
          <w:rFonts w:hint="eastAsia" w:asciiTheme="majorEastAsia" w:hAnsiTheme="majorEastAsia" w:eastAsiaTheme="majorEastAsia"/>
          <w:bCs/>
          <w:sz w:val="24"/>
        </w:rPr>
        <w:t>报价</w:t>
      </w:r>
      <w:r>
        <w:rPr>
          <w:rFonts w:asciiTheme="majorEastAsia" w:hAnsiTheme="majorEastAsia" w:eastAsiaTheme="majorEastAsia"/>
          <w:bCs/>
          <w:sz w:val="24"/>
        </w:rPr>
        <w:t>的</w:t>
      </w:r>
      <w:r>
        <w:rPr>
          <w:rFonts w:hint="eastAsia" w:asciiTheme="majorEastAsia" w:hAnsiTheme="majorEastAsia" w:eastAsiaTheme="majorEastAsia"/>
          <w:bCs/>
          <w:sz w:val="24"/>
        </w:rPr>
        <w:t>。</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 xml:space="preserve">21.2废标条款：                                                                                                                                                                                                                                                                                                                                                                                                                                                                                                                                                                                                                                                                                                                                                                                                                                                                                                                                                                                                                                                                                                                                                                                                                                                                                                                                                                                                                                                                         </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21.2.1符合专业条件的供应商或者对招标文件作实质响应的供应商不足三家的；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21.2.2出现影响采购公正的违法、违规行为的；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21.2.3投标人的报价均超过预算，采购人不能支付的；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21.2.4因重大变故，采购任务取消的；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21.2.5评标委员会认定招标文件存在歧义、 重大缺陷导致评审工作无法进行。</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21.3 投标截止时间结束后参加投标的供应商不足三家的处理：</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21.3.1投标截止后投标人不足3家或者通过资格审查或符合性审查的投标人不足3家的，除采购任务取消情形外，按照以下方式处理：</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（一）招标文件存在不合理条款或者招标程序不符合规定的，采购人、采购代理机构改正后依法重新招标；</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（二）招标文件没有不合理条款、招标程序符合规定，需要采用其他采购方式采购的，采购人应当依法报有关部门批准。</w:t>
      </w:r>
    </w:p>
    <w:p>
      <w:pPr>
        <w:spacing w:line="360" w:lineRule="auto"/>
        <w:rPr>
          <w:rFonts w:asciiTheme="majorEastAsia" w:hAnsiTheme="majorEastAsia" w:eastAsiaTheme="majorEastAsia"/>
          <w:bCs/>
          <w:sz w:val="24"/>
        </w:rPr>
      </w:pPr>
    </w:p>
    <w:p>
      <w:pPr>
        <w:pStyle w:val="6"/>
        <w:spacing w:beforeLines="50" w:afterLines="50" w:line="360" w:lineRule="auto"/>
        <w:ind w:firstLine="452" w:firstLineChars="150"/>
        <w:jc w:val="center"/>
        <w:rPr>
          <w:rFonts w:asciiTheme="majorEastAsia" w:hAnsiTheme="majorEastAsia" w:eastAsiaTheme="majorEastAsia"/>
          <w:sz w:val="30"/>
          <w:szCs w:val="30"/>
        </w:rPr>
      </w:pPr>
      <w:bookmarkStart w:id="139" w:name="_Toc120614219"/>
      <w:r>
        <w:rPr>
          <w:rFonts w:hint="eastAsia" w:asciiTheme="majorEastAsia" w:hAnsiTheme="majorEastAsia" w:eastAsiaTheme="majorEastAsia"/>
          <w:sz w:val="30"/>
          <w:szCs w:val="30"/>
        </w:rPr>
        <w:t>五、</w:t>
      </w:r>
      <w:bookmarkEnd w:id="136"/>
      <w:bookmarkEnd w:id="137"/>
      <w:bookmarkEnd w:id="138"/>
      <w:r>
        <w:rPr>
          <w:rFonts w:hint="eastAsia" w:asciiTheme="majorEastAsia" w:hAnsiTheme="majorEastAsia" w:eastAsiaTheme="majorEastAsia"/>
          <w:sz w:val="30"/>
          <w:szCs w:val="30"/>
        </w:rPr>
        <w:t>定标</w:t>
      </w:r>
      <w:bookmarkEnd w:id="139"/>
    </w:p>
    <w:p>
      <w:pPr>
        <w:pStyle w:val="7"/>
        <w:spacing w:before="0" w:after="0" w:line="360" w:lineRule="auto"/>
        <w:ind w:firstLine="560" w:firstLineChars="200"/>
        <w:rPr>
          <w:rFonts w:asciiTheme="minorEastAsia" w:hAnsiTheme="minorEastAsia" w:eastAsiaTheme="minorEastAsia" w:cstheme="minorEastAsia"/>
          <w:b w:val="0"/>
        </w:rPr>
      </w:pPr>
      <w:bookmarkStart w:id="140" w:name="_Toc513029238"/>
      <w:bookmarkStart w:id="141" w:name="_Toc16938554"/>
      <w:bookmarkStart w:id="142" w:name="_Toc20823310"/>
      <w:r>
        <w:rPr>
          <w:rFonts w:hint="eastAsia" w:asciiTheme="minorEastAsia" w:hAnsiTheme="minorEastAsia" w:eastAsiaTheme="minorEastAsia" w:cstheme="minorEastAsia"/>
          <w:b w:val="0"/>
        </w:rPr>
        <w:t>22、</w:t>
      </w:r>
      <w:bookmarkEnd w:id="140"/>
      <w:r>
        <w:rPr>
          <w:rFonts w:hint="eastAsia" w:asciiTheme="minorEastAsia" w:hAnsiTheme="minorEastAsia" w:eastAsiaTheme="minorEastAsia" w:cstheme="minorEastAsia"/>
          <w:b w:val="0"/>
        </w:rPr>
        <w:t>确定</w:t>
      </w:r>
      <w:bookmarkEnd w:id="141"/>
      <w:bookmarkEnd w:id="142"/>
      <w:r>
        <w:rPr>
          <w:rFonts w:hint="eastAsia" w:asciiTheme="minorEastAsia" w:hAnsiTheme="minorEastAsia" w:eastAsiaTheme="minorEastAsia" w:cstheme="minorEastAsia"/>
          <w:b w:val="0"/>
        </w:rPr>
        <w:t>中标单位</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22.1评委会根据本招标文件规定评标办法与评分标准推荐中标人。</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bCs/>
          <w:sz w:val="24"/>
        </w:rPr>
        <w:t>22.2</w:t>
      </w:r>
      <w:r>
        <w:rPr>
          <w:rFonts w:hint="eastAsia" w:asciiTheme="majorEastAsia" w:hAnsiTheme="majorEastAsia" w:eastAsiaTheme="majorEastAsia"/>
          <w:sz w:val="24"/>
          <w:szCs w:val="24"/>
        </w:rPr>
        <w:t>采购人将在“南通市公共资源交易网http://ggzyjy.nantong.gov.cn/jyxx/6.html、南通港口集团网http://www.ntport.com.cn/?ivk_sa=1024320u”发布中标公告，公告期限为3个工作日。</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22.3若有充分证据证明，中标人出现下列情况之一的，一经查实，将被取消中标资格：</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22.3.1提供虚假材料谋取中标的；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22.3.2向采购人行贿或者提供其他不正当利益的；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22.3.3恶意竞争，投标总报价明显低于其自身合理成本且又无法提供证明的；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22.3.4属于本文件规定的无效条件，但在评标过程中又未被评委会发现的；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22.3.5与采购人或者其他供应商恶意串通的；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22.3.6采取不正当手段诋毁、排挤其他供应商的；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22.3.7不符合法律、法规的规定的。</w:t>
      </w:r>
      <w:bookmarkStart w:id="143" w:name="_Toc200451960"/>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22.4.有下列情形之一的，视为投标人串通投标，其投标无效：</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22.4.1不同投标人的投标文件由同一单位或者个人编制；</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.2</w:t>
      </w:r>
      <w:r>
        <w:rPr>
          <w:rFonts w:hint="eastAsia" w:asciiTheme="majorEastAsia" w:hAnsiTheme="majorEastAsia" w:eastAsiaTheme="majorEastAsia"/>
          <w:sz w:val="24"/>
          <w:szCs w:val="24"/>
        </w:rPr>
        <w:t>不同投标人委托同一单位或者个人办理投标事宜；</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.3</w:t>
      </w:r>
      <w:r>
        <w:rPr>
          <w:rFonts w:hint="eastAsia" w:asciiTheme="majorEastAsia" w:hAnsiTheme="majorEastAsia" w:eastAsiaTheme="majorEastAsia"/>
          <w:sz w:val="24"/>
          <w:szCs w:val="24"/>
        </w:rPr>
        <w:t>不同投标人的投标文件载明的项目管理成员或者联系人员为同一人；</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.4</w:t>
      </w:r>
      <w:r>
        <w:rPr>
          <w:rFonts w:hint="eastAsia" w:asciiTheme="majorEastAsia" w:hAnsiTheme="majorEastAsia" w:eastAsiaTheme="majorEastAsia"/>
          <w:sz w:val="24"/>
          <w:szCs w:val="24"/>
        </w:rPr>
        <w:t>不同投标人的投标文件异常一致或者投标报价呈规律性差异；</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.5</w:t>
      </w:r>
      <w:r>
        <w:rPr>
          <w:rFonts w:hint="eastAsia" w:asciiTheme="majorEastAsia" w:hAnsiTheme="majorEastAsia" w:eastAsiaTheme="majorEastAsia"/>
          <w:sz w:val="24"/>
          <w:szCs w:val="24"/>
        </w:rPr>
        <w:t>不同投标人的投标文件相互混装；</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.6</w:t>
      </w:r>
      <w:r>
        <w:rPr>
          <w:rFonts w:hint="eastAsia" w:asciiTheme="majorEastAsia" w:hAnsiTheme="majorEastAsia" w:eastAsiaTheme="majorEastAsia"/>
          <w:sz w:val="24"/>
          <w:szCs w:val="24"/>
        </w:rPr>
        <w:t>不同投标人的投标保证金从同一单位或者个人的账户转出。</w:t>
      </w:r>
    </w:p>
    <w:p>
      <w:pPr>
        <w:pStyle w:val="7"/>
        <w:spacing w:before="0" w:after="0" w:line="360" w:lineRule="auto"/>
        <w:ind w:firstLine="560" w:firstLineChars="200"/>
        <w:rPr>
          <w:rFonts w:asciiTheme="majorEastAsia" w:hAnsiTheme="majorEastAsia" w:eastAsiaTheme="majorEastAsia"/>
          <w:b w:val="0"/>
          <w:bCs w:val="0"/>
        </w:rPr>
      </w:pPr>
      <w:r>
        <w:rPr>
          <w:rFonts w:hint="eastAsia" w:asciiTheme="majorEastAsia" w:hAnsiTheme="majorEastAsia" w:eastAsiaTheme="majorEastAsia"/>
          <w:b w:val="0"/>
          <w:bCs w:val="0"/>
        </w:rPr>
        <w:t>23、质疑处理</w:t>
      </w:r>
      <w:bookmarkEnd w:id="143"/>
    </w:p>
    <w:p>
      <w:pPr>
        <w:snapToGrid w:val="0"/>
        <w:spacing w:line="360" w:lineRule="auto"/>
        <w:ind w:firstLine="482" w:firstLineChars="200"/>
        <w:rPr>
          <w:rFonts w:asciiTheme="majorEastAsia" w:hAnsiTheme="majorEastAsia" w:eastAsiaTheme="majorEastAsia"/>
          <w:b/>
          <w:bCs/>
          <w:sz w:val="24"/>
          <w:szCs w:val="24"/>
          <w:u w:val="single"/>
        </w:rPr>
      </w:pPr>
      <w:r>
        <w:rPr>
          <w:rFonts w:hint="eastAsia" w:asciiTheme="majorEastAsia" w:hAnsiTheme="majorEastAsia" w:eastAsiaTheme="majorEastAsia"/>
          <w:b/>
          <w:bCs/>
          <w:sz w:val="24"/>
          <w:szCs w:val="24"/>
          <w:u w:val="single"/>
        </w:rPr>
        <w:t>23.1供应商对采购活动事项有疑问的，应当按照7.1条规定的时间前向采购人提出询问，采购人将按照7.1条规定的时间前对供应商依法提出的询问作出答复。</w:t>
      </w:r>
    </w:p>
    <w:p>
      <w:pPr>
        <w:snapToGrid w:val="0"/>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bCs/>
          <w:sz w:val="24"/>
          <w:szCs w:val="24"/>
          <w:u w:val="single"/>
        </w:rPr>
        <w:t>23.2</w:t>
      </w:r>
      <w:r>
        <w:rPr>
          <w:rFonts w:hint="eastAsia" w:asciiTheme="majorEastAsia" w:hAnsiTheme="majorEastAsia" w:eastAsiaTheme="majorEastAsia"/>
          <w:b/>
          <w:sz w:val="24"/>
          <w:szCs w:val="24"/>
          <w:u w:val="single"/>
        </w:rPr>
        <w:t>投标人认为采购文件使自己的权益受到损害的，可以</w:t>
      </w:r>
      <w:r>
        <w:rPr>
          <w:rFonts w:hint="eastAsia" w:asciiTheme="majorEastAsia" w:hAnsiTheme="majorEastAsia" w:eastAsiaTheme="majorEastAsia"/>
          <w:b/>
          <w:bCs/>
          <w:sz w:val="24"/>
          <w:szCs w:val="24"/>
          <w:u w:val="single"/>
        </w:rPr>
        <w:t>按照7.2条规定的时间前</w:t>
      </w:r>
      <w:r>
        <w:rPr>
          <w:rFonts w:hint="eastAsia" w:asciiTheme="majorEastAsia" w:hAnsiTheme="majorEastAsia" w:eastAsiaTheme="majorEastAsia"/>
          <w:b/>
          <w:sz w:val="24"/>
          <w:szCs w:val="24"/>
          <w:u w:val="single"/>
        </w:rPr>
        <w:t>前，以书面形式向采购人提出质疑。采购人将在收到投标人的书面质疑后3日内对投标人依法提出的质疑作出答复，并将通知质疑投标人和其他有关投标人，但答复内容涉及商业秘密的除外。</w:t>
      </w:r>
    </w:p>
    <w:p>
      <w:pPr>
        <w:snapToGrid w:val="0"/>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23.3采购人委托招标代理机构采购的，投标人可以向招标代理机构提出质疑，招标代理机构依照《中华人民共和国政府采购法》有关规定就采购人委托授权范围内的事项作出答复。</w:t>
      </w:r>
    </w:p>
    <w:p>
      <w:pPr>
        <w:snapToGrid w:val="0"/>
        <w:spacing w:line="360" w:lineRule="auto"/>
        <w:ind w:firstLine="482" w:firstLineChars="200"/>
        <w:rPr>
          <w:rFonts w:cs="宋体" w:asciiTheme="majorEastAsia" w:hAnsiTheme="majorEastAsia" w:eastAsiaTheme="majorEastAsia"/>
          <w:b/>
          <w:kern w:val="0"/>
          <w:sz w:val="24"/>
          <w:szCs w:val="24"/>
          <w:u w:val="single"/>
        </w:rPr>
      </w:pPr>
      <w:r>
        <w:rPr>
          <w:rFonts w:hint="eastAsia" w:asciiTheme="majorEastAsia" w:hAnsiTheme="majorEastAsia" w:eastAsiaTheme="majorEastAsia"/>
          <w:b/>
          <w:sz w:val="24"/>
          <w:szCs w:val="24"/>
          <w:u w:val="single"/>
        </w:rPr>
        <w:t>23.4</w:t>
      </w:r>
      <w:r>
        <w:rPr>
          <w:rFonts w:cs="宋体" w:asciiTheme="majorEastAsia" w:hAnsiTheme="majorEastAsia" w:eastAsiaTheme="majorEastAsia"/>
          <w:b/>
          <w:kern w:val="0"/>
          <w:sz w:val="24"/>
          <w:szCs w:val="24"/>
          <w:u w:val="single"/>
        </w:rPr>
        <w:t>对采购过程提出质疑的，为各采购程序环节结束之日；</w:t>
      </w:r>
      <w:r>
        <w:rPr>
          <w:rFonts w:cs="宋体" w:asciiTheme="majorEastAsia" w:hAnsiTheme="majorEastAsia" w:eastAsiaTheme="majorEastAsia"/>
          <w:b/>
          <w:kern w:val="0"/>
          <w:sz w:val="24"/>
          <w:szCs w:val="24"/>
          <w:u w:val="single"/>
        </w:rPr>
        <w:br w:type="textWrapping"/>
      </w:r>
      <w:r>
        <w:rPr>
          <w:rFonts w:cs="宋体" w:asciiTheme="majorEastAsia" w:hAnsiTheme="majorEastAsia" w:eastAsiaTheme="majorEastAsia"/>
          <w:b/>
          <w:kern w:val="0"/>
          <w:sz w:val="24"/>
          <w:szCs w:val="24"/>
        </w:rPr>
        <w:t>　　</w:t>
      </w:r>
      <w:r>
        <w:rPr>
          <w:rFonts w:hint="eastAsia" w:asciiTheme="majorEastAsia" w:hAnsiTheme="majorEastAsia" w:eastAsiaTheme="majorEastAsia"/>
          <w:b/>
          <w:sz w:val="24"/>
          <w:szCs w:val="24"/>
          <w:u w:val="single"/>
        </w:rPr>
        <w:t>23.5</w:t>
      </w:r>
      <w:r>
        <w:rPr>
          <w:rFonts w:cs="宋体" w:asciiTheme="majorEastAsia" w:hAnsiTheme="majorEastAsia" w:eastAsiaTheme="majorEastAsia"/>
          <w:b/>
          <w:kern w:val="0"/>
          <w:sz w:val="24"/>
          <w:szCs w:val="24"/>
          <w:u w:val="single"/>
        </w:rPr>
        <w:t>对中标或者成交结果提出质疑的，为中标或者成交结果公告期限届满之日。</w:t>
      </w:r>
    </w:p>
    <w:p>
      <w:pPr>
        <w:snapToGrid w:val="0"/>
        <w:spacing w:line="360" w:lineRule="auto"/>
        <w:ind w:firstLine="475" w:firstLineChars="197"/>
        <w:rPr>
          <w:rFonts w:cs="宋体" w:asciiTheme="majorEastAsia" w:hAnsiTheme="majorEastAsia" w:eastAsiaTheme="majorEastAsia"/>
          <w:b/>
          <w:kern w:val="0"/>
          <w:sz w:val="24"/>
          <w:szCs w:val="24"/>
          <w:u w:val="single"/>
        </w:rPr>
      </w:pPr>
      <w:r>
        <w:rPr>
          <w:rFonts w:hint="eastAsia" w:cs="宋体" w:asciiTheme="majorEastAsia" w:hAnsiTheme="majorEastAsia" w:eastAsiaTheme="majorEastAsia"/>
          <w:b/>
          <w:kern w:val="0"/>
          <w:sz w:val="24"/>
          <w:szCs w:val="24"/>
          <w:u w:val="single"/>
        </w:rPr>
        <w:t>23.6质疑必须以参加投标供应商法定代表人或授权代表（投标文件中所确定的）原件送达的方式提交，未按上述要求提交的质疑函（含传真、电子邮件等）采购人有权不予受理。</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23.7未参加投标活动的供应商或在投标活动中自身权益未受到损害的供应商所提出的质疑不予受理。</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23.8质疑函应当包括下列内容：</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23.8.1质疑投标人的名称、地址、邮编、联系人、联系电话；</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23.8.2具体的质疑事项及明确的请求；</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23.8.3认为自己合法权益受到损害或可能受到损害的相关证据材料；</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23.8.4提起质疑的日期；</w:t>
      </w:r>
    </w:p>
    <w:p>
      <w:pPr>
        <w:snapToGrid w:val="0"/>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23.8.5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23.9采购人收到质疑函后，将对质疑的形式和内容进行审查，如质疑函内容、格式不符合规定，采购人将告知质疑人进行补正。</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23.10质疑人应当在法定质疑期限内进行补正并重新提交质疑函，拒不补正或者在法定期限内未重新提交质疑函的，为无效质疑，采购人有权不予受理。</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23.11对于内容、格式符合规定的质疑函，采购人应当在收到投标供应商的书面质疑后七个工作日内作出答复，并以书面形式通知质疑供应商和其他有关供应商，但答复的内容不得涉及商业秘密。</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23.12投标人提出书面质疑必须有理、有据，不得恶意质疑或提交虚假质疑。否则，一经查实，采购人有权依据《江苏省政府采购供应商监督管理暂行办法》的规定，扣减其诚信记录分，并报请政府采购监管部门对该投标人进行相应的行政处罚。</w:t>
      </w:r>
    </w:p>
    <w:p>
      <w:pPr>
        <w:pStyle w:val="7"/>
        <w:spacing w:before="0" w:after="0" w:line="360" w:lineRule="auto"/>
        <w:ind w:firstLine="560" w:firstLineChars="200"/>
        <w:rPr>
          <w:rFonts w:asciiTheme="majorEastAsia" w:hAnsiTheme="majorEastAsia" w:eastAsiaTheme="majorEastAsia"/>
          <w:b w:val="0"/>
        </w:rPr>
      </w:pPr>
      <w:r>
        <w:rPr>
          <w:rFonts w:hint="eastAsia" w:asciiTheme="majorEastAsia" w:hAnsiTheme="majorEastAsia" w:eastAsiaTheme="majorEastAsia"/>
          <w:b w:val="0"/>
        </w:rPr>
        <w:t>24、中标通知书</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24.l中标结果确定后，采购人将向中标供应商发出中标通知书。</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24.2 中标供应商法定代表人或授权代表（投标文件中所确定的）须到南通港码头管理有限公司现场签收中标通知书。</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24.3中标通知书将是合同的一个组成部分。对采购人和中标供应商均具有法律效力。中标通知书发出后，采购人改变中标结果的，或者中标供应商放弃中标项目的，应当依法承担法律责任。</w:t>
      </w:r>
    </w:p>
    <w:p>
      <w:pPr>
        <w:pStyle w:val="6"/>
        <w:spacing w:beforeLines="50" w:afterLines="50" w:line="360" w:lineRule="auto"/>
        <w:jc w:val="center"/>
        <w:rPr>
          <w:rFonts w:asciiTheme="majorEastAsia" w:hAnsiTheme="majorEastAsia" w:eastAsiaTheme="majorEastAsia"/>
          <w:sz w:val="30"/>
          <w:szCs w:val="30"/>
        </w:rPr>
      </w:pPr>
      <w:bookmarkStart w:id="144" w:name="_Toc120614220"/>
      <w:bookmarkStart w:id="145" w:name="_Toc20823308"/>
      <w:bookmarkStart w:id="146" w:name="_Toc16938552"/>
      <w:bookmarkStart w:id="147" w:name="_Toc513029236"/>
      <w:r>
        <w:rPr>
          <w:rFonts w:hint="eastAsia" w:asciiTheme="majorEastAsia" w:hAnsiTheme="majorEastAsia" w:eastAsiaTheme="majorEastAsia"/>
          <w:sz w:val="30"/>
          <w:szCs w:val="30"/>
        </w:rPr>
        <w:t>六、合同</w:t>
      </w:r>
      <w:bookmarkEnd w:id="144"/>
      <w:r>
        <w:rPr>
          <w:rFonts w:hint="eastAsia" w:asciiTheme="majorEastAsia" w:hAnsiTheme="majorEastAsia" w:eastAsiaTheme="majorEastAsia"/>
          <w:sz w:val="30"/>
          <w:szCs w:val="30"/>
        </w:rPr>
        <w:t>签订相关事项</w:t>
      </w:r>
    </w:p>
    <w:bookmarkEnd w:id="145"/>
    <w:bookmarkEnd w:id="146"/>
    <w:bookmarkEnd w:id="147"/>
    <w:p>
      <w:pPr>
        <w:pStyle w:val="7"/>
        <w:spacing w:before="0" w:after="0" w:line="360" w:lineRule="auto"/>
        <w:ind w:firstLine="560" w:firstLineChars="200"/>
        <w:rPr>
          <w:rFonts w:asciiTheme="majorEastAsia" w:hAnsiTheme="majorEastAsia" w:eastAsiaTheme="majorEastAsia"/>
          <w:b w:val="0"/>
        </w:rPr>
      </w:pPr>
      <w:bookmarkStart w:id="148" w:name="_Toc513029237"/>
      <w:bookmarkStart w:id="149" w:name="_Toc20823309"/>
      <w:bookmarkStart w:id="150" w:name="_Toc16938553"/>
      <w:r>
        <w:rPr>
          <w:rFonts w:hint="eastAsia" w:asciiTheme="majorEastAsia" w:hAnsiTheme="majorEastAsia" w:eastAsiaTheme="majorEastAsia"/>
          <w:b w:val="0"/>
        </w:rPr>
        <w:t>25. 签订合同</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bCs/>
          <w:sz w:val="24"/>
          <w:szCs w:val="24"/>
        </w:rPr>
        <w:t>25</w:t>
      </w:r>
      <w:r>
        <w:rPr>
          <w:rFonts w:hint="eastAsia" w:asciiTheme="majorEastAsia" w:hAnsiTheme="majorEastAsia" w:eastAsiaTheme="majorEastAsia"/>
          <w:sz w:val="24"/>
          <w:szCs w:val="24"/>
        </w:rPr>
        <w:t>.l中标人应按中标通知书规定的时间、地点,按照招标文件确定的事项与采购人签订采购合同，且不得迟于中标通知书发出之日起15日内，否则投标保证金将不予退还，由此给采购人造成损失的，中标人还应承担赔偿责任。</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25.2招标文件、中标人的投标文件及招标过程中有关澄清、承诺文件均应作为合同附件。</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25.3 签订合同后，</w:t>
      </w:r>
      <w:r>
        <w:rPr>
          <w:rFonts w:hint="eastAsia" w:asciiTheme="majorEastAsia" w:hAnsiTheme="majorEastAsia" w:eastAsiaTheme="majorEastAsia"/>
          <w:sz w:val="24"/>
          <w:szCs w:val="24"/>
          <w:u w:val="single"/>
        </w:rPr>
        <w:t>中标人不得将服务及其他相关服务进行转包</w:t>
      </w:r>
      <w:r>
        <w:rPr>
          <w:rFonts w:hint="eastAsia" w:asciiTheme="majorEastAsia" w:hAnsiTheme="majorEastAsia" w:eastAsiaTheme="majorEastAsia"/>
          <w:sz w:val="24"/>
          <w:szCs w:val="24"/>
        </w:rPr>
        <w:t>。未经采购人同意，中标人也不得采用分包的形式履行合同，否则采购人有权终止合同，中标人的履约保证金将不予退还。转包或分包造成采购人损失的，中标人应承担相应赔偿责任。</w:t>
      </w:r>
    </w:p>
    <w:p>
      <w:pPr>
        <w:pStyle w:val="7"/>
        <w:spacing w:before="0" w:after="0" w:line="360" w:lineRule="auto"/>
        <w:ind w:firstLine="560" w:firstLineChars="200"/>
        <w:rPr>
          <w:rFonts w:asciiTheme="majorEastAsia" w:hAnsiTheme="majorEastAsia" w:eastAsiaTheme="majorEastAsia"/>
          <w:b w:val="0"/>
        </w:rPr>
      </w:pPr>
      <w:r>
        <w:rPr>
          <w:rFonts w:hint="eastAsia" w:asciiTheme="majorEastAsia" w:hAnsiTheme="majorEastAsia" w:eastAsiaTheme="majorEastAsia"/>
          <w:b w:val="0"/>
        </w:rPr>
        <w:t>26、履约保证金：签订合同价的10%（转账、保函等）。</w:t>
      </w:r>
    </w:p>
    <w:bookmarkEnd w:id="148"/>
    <w:bookmarkEnd w:id="149"/>
    <w:bookmarkEnd w:id="150"/>
    <w:p>
      <w:pPr>
        <w:adjustRightInd w:val="0"/>
        <w:snapToGrid w:val="0"/>
        <w:spacing w:beforeLines="50"/>
        <w:jc w:val="center"/>
        <w:rPr>
          <w:rFonts w:asciiTheme="majorEastAsia" w:hAnsiTheme="majorEastAsia" w:eastAsiaTheme="majorEastAsia"/>
          <w:bCs/>
        </w:rPr>
      </w:pPr>
      <w:bookmarkStart w:id="151" w:name="_Toc513029242"/>
      <w:bookmarkStart w:id="152" w:name="_Toc479757207"/>
      <w:bookmarkStart w:id="153" w:name="_Toc20823314"/>
      <w:bookmarkStart w:id="154" w:name="_Toc16938558"/>
      <w:bookmarkStart w:id="155" w:name="_Toc120614221"/>
      <w:r>
        <w:rPr>
          <w:rFonts w:asciiTheme="majorEastAsia" w:hAnsiTheme="majorEastAsia" w:eastAsiaTheme="majorEastAsia"/>
          <w:bCs/>
        </w:rPr>
        <w:br w:type="page"/>
      </w:r>
      <w:bookmarkEnd w:id="151"/>
      <w:bookmarkEnd w:id="152"/>
      <w:bookmarkEnd w:id="153"/>
      <w:bookmarkEnd w:id="154"/>
      <w:bookmarkEnd w:id="155"/>
      <w:bookmarkStart w:id="156" w:name="_Toc16938590"/>
      <w:bookmarkStart w:id="157" w:name="_Toc20823346"/>
      <w:bookmarkStart w:id="158" w:name="_Toc120614244"/>
      <w:bookmarkStart w:id="159" w:name="_Hlt16619350"/>
      <w:bookmarkStart w:id="160" w:name="_Toc479757211"/>
      <w:bookmarkStart w:id="161" w:name="_Toc462564139"/>
      <w:r>
        <w:rPr>
          <w:rFonts w:hint="eastAsia" w:asciiTheme="majorEastAsia" w:hAnsiTheme="majorEastAsia" w:eastAsiaTheme="majorEastAsia"/>
          <w:b/>
          <w:sz w:val="36"/>
          <w:szCs w:val="36"/>
        </w:rPr>
        <w:t>第三章  合同条款及格式</w:t>
      </w:r>
    </w:p>
    <w:p>
      <w:pPr>
        <w:adjustRightInd w:val="0"/>
        <w:snapToGrid w:val="0"/>
        <w:spacing w:beforeLines="50"/>
        <w:jc w:val="center"/>
        <w:rPr>
          <w:rFonts w:ascii="黑体" w:hAnsi="黑体" w:eastAsia="黑体"/>
          <w:b/>
          <w:bCs/>
          <w:kern w:val="44"/>
          <w:sz w:val="36"/>
          <w:szCs w:val="36"/>
        </w:rPr>
      </w:pPr>
      <w:r>
        <w:rPr>
          <w:rFonts w:hint="eastAsia" w:ascii="黑体" w:hAnsi="黑体" w:eastAsia="黑体"/>
          <w:b/>
          <w:bCs/>
          <w:spacing w:val="-28"/>
          <w:kern w:val="44"/>
          <w:sz w:val="36"/>
          <w:szCs w:val="36"/>
        </w:rPr>
        <w:t>南通港码头管理有限公司高空作业平台（直臂式登高车）采购项目</w:t>
      </w:r>
    </w:p>
    <w:p>
      <w:pPr>
        <w:pStyle w:val="4"/>
        <w:spacing w:beforeLines="50" w:afterLines="100" w:line="560" w:lineRule="exact"/>
        <w:jc w:val="center"/>
        <w:rPr>
          <w:rFonts w:ascii="黑体" w:hAnsi="黑体" w:eastAsia="黑体"/>
          <w:sz w:val="36"/>
          <w:szCs w:val="36"/>
        </w:rPr>
      </w:pPr>
      <w:r>
        <w:rPr>
          <w:rFonts w:hint="eastAsia" w:ascii="黑体" w:hAnsi="黑体" w:eastAsia="黑体"/>
          <w:sz w:val="36"/>
          <w:szCs w:val="36"/>
        </w:rPr>
        <w:t>合同协议书</w:t>
      </w:r>
    </w:p>
    <w:p>
      <w:pPr>
        <w:spacing w:line="360" w:lineRule="auto"/>
        <w:ind w:firstLine="420" w:firstLineChars="200"/>
        <w:jc w:val="left"/>
        <w:rPr>
          <w:rFonts w:ascii="宋体" w:hAnsi="宋体"/>
        </w:rPr>
      </w:pPr>
      <w:bookmarkStart w:id="162" w:name="_Toc79813324"/>
      <w:bookmarkStart w:id="163" w:name="_Toc76194430"/>
      <w:bookmarkStart w:id="164" w:name="_Toc214071943"/>
      <w:bookmarkStart w:id="165" w:name="_Toc291492932"/>
      <w:bookmarkStart w:id="166" w:name="_Toc81380101"/>
      <w:bookmarkStart w:id="167" w:name="_Toc43024026"/>
      <w:r>
        <w:rPr>
          <w:rFonts w:hint="eastAsia" w:ascii="宋体" w:hAnsi="宋体" w:cs="宋体"/>
          <w:u w:val="single"/>
        </w:rPr>
        <w:t>南通港码头管理有限公司</w:t>
      </w:r>
      <w:r>
        <w:rPr>
          <w:rFonts w:hint="eastAsia" w:ascii="宋体" w:hAnsi="宋体" w:cs="宋体"/>
        </w:rPr>
        <w:t>（以下简称“买方”）为实施</w:t>
      </w:r>
      <w:r>
        <w:rPr>
          <w:rFonts w:hint="eastAsia" w:ascii="宋体" w:hAnsi="宋体" w:cs="宋体"/>
          <w:u w:val="single"/>
        </w:rPr>
        <w:t>南通港码头管理有限公司高空作业平台（直臂式登高车）采购项目</w:t>
      </w:r>
      <w:r>
        <w:rPr>
          <w:rFonts w:hint="eastAsia" w:ascii="宋体" w:hAnsi="宋体" w:cs="宋体"/>
        </w:rPr>
        <w:t>，已接受（以下简称“卖方”）对该项目</w:t>
      </w:r>
      <w:r>
        <w:rPr>
          <w:rFonts w:hint="eastAsia" w:ascii="宋体" w:hAnsi="宋体" w:cs="宋体"/>
          <w:u w:val="single"/>
        </w:rPr>
        <w:t>高空作业平台（直臂式登高车）</w:t>
      </w:r>
      <w:r>
        <w:rPr>
          <w:rFonts w:hint="eastAsia" w:ascii="宋体" w:hAnsi="宋体" w:cs="宋体"/>
        </w:rPr>
        <w:t>采购的投标。根据招投标文件、投标文件及中标通知书，买方和卖方共同达成如下协议。</w:t>
      </w:r>
    </w:p>
    <w:p>
      <w:pPr>
        <w:spacing w:line="360" w:lineRule="auto"/>
        <w:ind w:firstLine="420" w:firstLineChars="200"/>
        <w:jc w:val="left"/>
        <w:rPr>
          <w:rFonts w:ascii="宋体" w:hAnsi="宋体"/>
          <w:u w:val="single"/>
        </w:rPr>
      </w:pPr>
      <w:r>
        <w:rPr>
          <w:rFonts w:ascii="宋体" w:hAnsi="宋体" w:cs="宋体"/>
        </w:rPr>
        <w:t>1</w:t>
      </w:r>
      <w:r>
        <w:rPr>
          <w:rFonts w:hint="eastAsia" w:ascii="宋体" w:hAnsi="宋体" w:cs="宋体"/>
        </w:rPr>
        <w:t>．工程概况：拟采购1台32米高空作业平台（直臂式登高车）。</w:t>
      </w:r>
    </w:p>
    <w:p>
      <w:pPr>
        <w:spacing w:line="360" w:lineRule="auto"/>
        <w:ind w:firstLine="420" w:firstLineChars="200"/>
        <w:jc w:val="left"/>
        <w:rPr>
          <w:rFonts w:ascii="宋体" w:hAnsi="宋体"/>
        </w:rPr>
      </w:pPr>
      <w:r>
        <w:rPr>
          <w:rFonts w:ascii="宋体" w:hAnsi="宋体" w:cs="宋体"/>
        </w:rPr>
        <w:t>2</w:t>
      </w:r>
      <w:r>
        <w:rPr>
          <w:rFonts w:hint="eastAsia" w:ascii="宋体" w:hAnsi="宋体" w:cs="宋体"/>
        </w:rPr>
        <w:t>．下列文件应视为构成合同文件的组成部分：</w:t>
      </w:r>
    </w:p>
    <w:p>
      <w:pPr>
        <w:spacing w:line="360" w:lineRule="auto"/>
        <w:ind w:firstLine="420" w:firstLineChars="200"/>
        <w:jc w:val="left"/>
        <w:rPr>
          <w:rFonts w:ascii="宋体" w:hAnsi="宋体"/>
        </w:rPr>
      </w:pPr>
      <w:r>
        <w:rPr>
          <w:rFonts w:hint="eastAsia" w:ascii="宋体" w:hAnsi="宋体" w:cs="宋体"/>
        </w:rPr>
        <w:t>（</w:t>
      </w:r>
      <w:r>
        <w:rPr>
          <w:rFonts w:ascii="宋体" w:hAnsi="宋体" w:cs="宋体"/>
        </w:rPr>
        <w:t>1</w:t>
      </w:r>
      <w:r>
        <w:rPr>
          <w:rFonts w:hint="eastAsia" w:ascii="宋体" w:hAnsi="宋体" w:cs="宋体"/>
        </w:rPr>
        <w:t>）本协议书及各种合同附件（含评标期间和合同谈判过程中的澄清文件和补充资料）；</w:t>
      </w:r>
    </w:p>
    <w:p>
      <w:pPr>
        <w:spacing w:line="360" w:lineRule="auto"/>
        <w:ind w:left="630" w:leftChars="300" w:firstLine="420" w:firstLineChars="200"/>
        <w:jc w:val="left"/>
        <w:rPr>
          <w:rFonts w:ascii="宋体" w:hAnsi="宋体" w:cs="宋体"/>
        </w:rPr>
      </w:pPr>
      <w:r>
        <w:rPr>
          <w:rFonts w:hint="eastAsia" w:ascii="宋体" w:hAnsi="宋体" w:cs="宋体"/>
        </w:rPr>
        <w:t>附件一：合同通用条款</w:t>
      </w:r>
    </w:p>
    <w:p>
      <w:pPr>
        <w:spacing w:line="360" w:lineRule="auto"/>
        <w:ind w:left="630" w:leftChars="300" w:firstLine="420" w:firstLineChars="200"/>
        <w:jc w:val="left"/>
        <w:rPr>
          <w:rFonts w:ascii="宋体" w:hAnsi="宋体"/>
        </w:rPr>
      </w:pPr>
      <w:r>
        <w:rPr>
          <w:rFonts w:hint="eastAsia" w:ascii="宋体" w:hAnsi="宋体" w:cs="宋体"/>
        </w:rPr>
        <w:t>附件二：合同专用条款；</w:t>
      </w:r>
    </w:p>
    <w:p>
      <w:pPr>
        <w:spacing w:line="360" w:lineRule="auto"/>
        <w:ind w:left="630" w:leftChars="300" w:firstLine="420" w:firstLineChars="200"/>
        <w:jc w:val="left"/>
        <w:rPr>
          <w:rFonts w:ascii="宋体" w:hAnsi="宋体" w:cs="宋体"/>
        </w:rPr>
      </w:pPr>
      <w:r>
        <w:rPr>
          <w:rFonts w:hint="eastAsia" w:ascii="宋体" w:hAnsi="宋体" w:cs="宋体"/>
        </w:rPr>
        <w:t>附件三：合同设备技术规格</w:t>
      </w:r>
    </w:p>
    <w:p>
      <w:pPr>
        <w:spacing w:line="360" w:lineRule="auto"/>
        <w:ind w:left="630" w:leftChars="300" w:firstLine="420" w:firstLineChars="200"/>
        <w:jc w:val="left"/>
        <w:rPr>
          <w:rFonts w:ascii="宋体" w:hAnsi="宋体"/>
        </w:rPr>
      </w:pPr>
      <w:r>
        <w:rPr>
          <w:rFonts w:hint="eastAsia" w:ascii="宋体" w:hAnsi="宋体" w:cs="宋体"/>
        </w:rPr>
        <w:t>附件四：廉政合同；</w:t>
      </w:r>
    </w:p>
    <w:p>
      <w:pPr>
        <w:spacing w:line="360" w:lineRule="auto"/>
        <w:ind w:left="630" w:leftChars="300" w:firstLine="420" w:firstLineChars="200"/>
        <w:jc w:val="left"/>
        <w:rPr>
          <w:rFonts w:ascii="宋体" w:hAnsi="宋体"/>
        </w:rPr>
      </w:pPr>
      <w:r>
        <w:rPr>
          <w:rFonts w:hint="eastAsia" w:ascii="宋体" w:hAnsi="宋体" w:cs="宋体"/>
        </w:rPr>
        <w:t>附件五：安全生产合同；</w:t>
      </w:r>
    </w:p>
    <w:p>
      <w:pPr>
        <w:snapToGrid w:val="0"/>
        <w:spacing w:line="360" w:lineRule="auto"/>
        <w:ind w:firstLine="420" w:firstLineChars="200"/>
        <w:jc w:val="left"/>
        <w:rPr>
          <w:rFonts w:ascii="宋体" w:hAnsi="宋体"/>
        </w:rPr>
      </w:pPr>
      <w:r>
        <w:rPr>
          <w:rFonts w:hint="eastAsia" w:ascii="宋体" w:hAnsi="宋体" w:cs="宋体"/>
        </w:rPr>
        <w:t>（说明：《江苏省公路水运建设市场信用信息管理办法》也是合同附件，内容详见招标文件；合同执行过程中，上级主管部门或业主有新的履约考核规定时，按新规定执行）</w:t>
      </w:r>
    </w:p>
    <w:p>
      <w:pPr>
        <w:spacing w:line="360" w:lineRule="auto"/>
        <w:ind w:firstLine="420" w:firstLineChars="200"/>
        <w:jc w:val="left"/>
        <w:rPr>
          <w:rFonts w:ascii="宋体" w:hAnsi="宋体" w:cs="宋体"/>
        </w:rPr>
      </w:pPr>
      <w:r>
        <w:rPr>
          <w:rFonts w:hint="eastAsia" w:ascii="宋体" w:hAnsi="宋体" w:cs="宋体"/>
        </w:rPr>
        <w:t>（</w:t>
      </w:r>
      <w:r>
        <w:rPr>
          <w:rFonts w:ascii="宋体" w:hAnsi="宋体" w:cs="宋体"/>
        </w:rPr>
        <w:t>2</w:t>
      </w:r>
      <w:r>
        <w:rPr>
          <w:rFonts w:hint="eastAsia" w:ascii="宋体" w:hAnsi="宋体" w:cs="宋体"/>
        </w:rPr>
        <w:t>）中标通知书；</w:t>
      </w:r>
    </w:p>
    <w:p>
      <w:pPr>
        <w:spacing w:line="360" w:lineRule="auto"/>
        <w:ind w:firstLine="420" w:firstLineChars="200"/>
        <w:jc w:val="left"/>
        <w:rPr>
          <w:rFonts w:ascii="宋体" w:hAnsi="宋体" w:cs="宋体"/>
        </w:rPr>
      </w:pPr>
      <w:r>
        <w:rPr>
          <w:rFonts w:hint="eastAsia" w:ascii="宋体" w:hAnsi="宋体" w:cs="宋体"/>
        </w:rPr>
        <w:t>（</w:t>
      </w:r>
      <w:r>
        <w:rPr>
          <w:rFonts w:ascii="宋体" w:hAnsi="宋体" w:cs="宋体"/>
        </w:rPr>
        <w:t>3</w:t>
      </w:r>
      <w:r>
        <w:rPr>
          <w:rFonts w:hint="eastAsia" w:ascii="宋体" w:hAnsi="宋体" w:cs="宋体"/>
        </w:rPr>
        <w:t>）投标函；</w:t>
      </w:r>
    </w:p>
    <w:p>
      <w:pPr>
        <w:spacing w:line="360" w:lineRule="auto"/>
        <w:ind w:firstLine="420" w:firstLineChars="200"/>
        <w:jc w:val="left"/>
        <w:rPr>
          <w:rFonts w:ascii="宋体" w:hAnsi="宋体" w:cs="宋体"/>
        </w:rPr>
      </w:pPr>
      <w:r>
        <w:rPr>
          <w:rFonts w:hint="eastAsia" w:ascii="宋体" w:hAnsi="宋体" w:cs="宋体"/>
        </w:rPr>
        <w:t>（</w:t>
      </w:r>
      <w:r>
        <w:rPr>
          <w:rFonts w:ascii="宋体" w:hAnsi="宋体" w:cs="宋体"/>
        </w:rPr>
        <w:t>4</w:t>
      </w:r>
      <w:r>
        <w:rPr>
          <w:rFonts w:hint="eastAsia" w:ascii="宋体" w:hAnsi="宋体" w:cs="宋体"/>
        </w:rPr>
        <w:t>）通用合同条款；</w:t>
      </w:r>
    </w:p>
    <w:p>
      <w:pPr>
        <w:spacing w:line="360" w:lineRule="auto"/>
        <w:ind w:firstLine="420" w:firstLineChars="200"/>
        <w:jc w:val="left"/>
        <w:rPr>
          <w:rFonts w:ascii="宋体" w:hAnsi="宋体" w:cs="宋体"/>
        </w:rPr>
      </w:pPr>
      <w:r>
        <w:rPr>
          <w:rFonts w:hint="eastAsia" w:ascii="宋体" w:hAnsi="宋体" w:cs="宋体"/>
        </w:rPr>
        <w:t>（</w:t>
      </w:r>
      <w:r>
        <w:rPr>
          <w:rFonts w:ascii="宋体" w:hAnsi="宋体" w:cs="宋体"/>
        </w:rPr>
        <w:t>5</w:t>
      </w:r>
      <w:r>
        <w:rPr>
          <w:rFonts w:hint="eastAsia" w:ascii="宋体" w:hAnsi="宋体" w:cs="宋体"/>
        </w:rPr>
        <w:t>）技术标准和规范；</w:t>
      </w:r>
    </w:p>
    <w:p>
      <w:pPr>
        <w:spacing w:line="360" w:lineRule="auto"/>
        <w:ind w:firstLine="420" w:firstLineChars="200"/>
        <w:jc w:val="left"/>
        <w:rPr>
          <w:rFonts w:ascii="宋体" w:hAnsi="宋体" w:cs="宋体"/>
        </w:rPr>
      </w:pPr>
      <w:r>
        <w:rPr>
          <w:rFonts w:hint="eastAsia" w:ascii="宋体" w:hAnsi="宋体" w:cs="宋体"/>
        </w:rPr>
        <w:t>（</w:t>
      </w:r>
      <w:r>
        <w:rPr>
          <w:rFonts w:ascii="宋体" w:hAnsi="宋体" w:cs="宋体"/>
        </w:rPr>
        <w:t>6</w:t>
      </w:r>
      <w:r>
        <w:rPr>
          <w:rFonts w:hint="eastAsia" w:ascii="宋体" w:hAnsi="宋体" w:cs="宋体"/>
        </w:rPr>
        <w:t>）其他合同文件。</w:t>
      </w:r>
    </w:p>
    <w:p>
      <w:pPr>
        <w:snapToGrid w:val="0"/>
        <w:spacing w:line="360" w:lineRule="auto"/>
        <w:ind w:firstLine="420" w:firstLineChars="200"/>
        <w:jc w:val="left"/>
        <w:rPr>
          <w:rFonts w:ascii="宋体" w:hAnsi="宋体" w:cs="宋体"/>
        </w:rPr>
      </w:pPr>
      <w:r>
        <w:rPr>
          <w:rFonts w:hint="eastAsia" w:ascii="宋体" w:hAnsi="宋体" w:cs="宋体"/>
        </w:rPr>
        <w:t>上述文件互相补充和解释，如有不明确或不一致之处，以合同约定次序在先者为准。</w:t>
      </w:r>
    </w:p>
    <w:p>
      <w:pPr>
        <w:spacing w:line="360" w:lineRule="auto"/>
        <w:ind w:firstLine="420" w:firstLineChars="200"/>
        <w:jc w:val="left"/>
        <w:rPr>
          <w:rFonts w:ascii="宋体" w:hAnsi="宋体" w:cs="宋体"/>
        </w:rPr>
      </w:pPr>
      <w:r>
        <w:rPr>
          <w:rFonts w:ascii="宋体" w:hAnsi="宋体" w:cs="宋体"/>
        </w:rPr>
        <w:t>3</w:t>
      </w:r>
      <w:r>
        <w:rPr>
          <w:rFonts w:hint="eastAsia" w:ascii="宋体" w:hAnsi="宋体" w:cs="宋体"/>
        </w:rPr>
        <w:t>．供应的货物品种、数量、及合同价格</w:t>
      </w:r>
    </w:p>
    <w:p>
      <w:pPr>
        <w:spacing w:line="360" w:lineRule="auto"/>
        <w:ind w:firstLine="420" w:firstLineChars="200"/>
        <w:jc w:val="left"/>
        <w:rPr>
          <w:rFonts w:ascii="宋体" w:hAnsi="宋体" w:cs="宋体"/>
        </w:rPr>
      </w:pPr>
      <w:r>
        <w:rPr>
          <w:rFonts w:hint="eastAsia" w:ascii="宋体" w:hAnsi="宋体" w:cs="宋体"/>
        </w:rPr>
        <w:t>卖方将按其投标文件、买方招标文件的要求提供货物（</w:t>
      </w:r>
      <w:r>
        <w:rPr>
          <w:rFonts w:hint="eastAsia" w:ascii="宋体" w:hAnsi="宋体" w:cs="宋体"/>
          <w:b/>
          <w:u w:val="single"/>
        </w:rPr>
        <w:t>即1台32米高空作业平台（直臂式登高车））</w:t>
      </w:r>
      <w:r>
        <w:rPr>
          <w:rFonts w:hint="eastAsia" w:ascii="宋体" w:hAnsi="宋体" w:cs="宋体"/>
        </w:rPr>
        <w:t>及服务，货物及服务的合同总价为</w:t>
      </w:r>
      <w:r>
        <w:rPr>
          <w:rFonts w:hint="eastAsia" w:ascii="宋体" w:hAnsi="宋体" w:cs="宋体"/>
          <w:b/>
          <w:u w:val="single"/>
        </w:rPr>
        <w:t>元整（¥元），</w:t>
      </w:r>
      <w:r>
        <w:rPr>
          <w:rFonts w:hint="eastAsia" w:ascii="宋体" w:hAnsi="宋体" w:cs="宋体"/>
        </w:rPr>
        <w:t>拟采购1台32米高空作业平台（直臂式登高车）及服务的品种规格、数量、总价以“投标报价表”中的约定为准。</w:t>
      </w:r>
    </w:p>
    <w:p>
      <w:pPr>
        <w:spacing w:line="360" w:lineRule="auto"/>
        <w:ind w:firstLine="420" w:firstLineChars="200"/>
        <w:jc w:val="left"/>
        <w:rPr>
          <w:rFonts w:ascii="宋体" w:hAnsi="宋体" w:cs="宋体"/>
        </w:rPr>
      </w:pPr>
      <w:r>
        <w:rPr>
          <w:rFonts w:ascii="宋体" w:hAnsi="宋体" w:cs="宋体"/>
        </w:rPr>
        <w:t>4</w:t>
      </w:r>
      <w:r>
        <w:rPr>
          <w:rFonts w:hint="eastAsia" w:ascii="宋体" w:hAnsi="宋体" w:cs="宋体"/>
        </w:rPr>
        <w:t>．卖方在此承诺：卖方将按照招标文件、投标文件以及本合同协议书等相关合同文件要求向买方提供1台32米高空作业平台（直臂式登高车）</w:t>
      </w:r>
      <w:r>
        <w:rPr>
          <w:rFonts w:hint="eastAsia" w:ascii="宋体" w:hAnsi="宋体" w:cs="宋体"/>
          <w:color w:val="000000"/>
          <w:kern w:val="0"/>
        </w:rPr>
        <w:t>，其</w:t>
      </w:r>
      <w:r>
        <w:rPr>
          <w:rFonts w:hint="eastAsia" w:ascii="宋体" w:hAnsi="宋体" w:cs="宋体"/>
        </w:rPr>
        <w:t>质量及服务完全符合合同约定。</w:t>
      </w:r>
    </w:p>
    <w:p>
      <w:pPr>
        <w:spacing w:line="360" w:lineRule="auto"/>
        <w:ind w:firstLine="420" w:firstLineChars="200"/>
        <w:jc w:val="left"/>
        <w:rPr>
          <w:rFonts w:ascii="宋体" w:hAnsi="宋体" w:cs="宋体"/>
        </w:rPr>
      </w:pPr>
      <w:r>
        <w:rPr>
          <w:rFonts w:ascii="宋体" w:hAnsi="宋体" w:cs="宋体"/>
        </w:rPr>
        <w:t>5</w:t>
      </w:r>
      <w:r>
        <w:rPr>
          <w:rFonts w:hint="eastAsia" w:ascii="宋体" w:hAnsi="宋体" w:cs="宋体"/>
        </w:rPr>
        <w:t>．供货地点为南通港码头管理有限公司。</w:t>
      </w:r>
    </w:p>
    <w:p>
      <w:pPr>
        <w:spacing w:line="360" w:lineRule="auto"/>
        <w:ind w:firstLine="420" w:firstLineChars="200"/>
        <w:jc w:val="left"/>
        <w:rPr>
          <w:rFonts w:ascii="宋体" w:hAnsi="宋体" w:cs="宋体"/>
        </w:rPr>
      </w:pPr>
      <w:r>
        <w:rPr>
          <w:rFonts w:ascii="宋体" w:hAnsi="宋体" w:cs="宋体"/>
        </w:rPr>
        <w:t>6</w:t>
      </w:r>
      <w:r>
        <w:rPr>
          <w:rFonts w:hint="eastAsia" w:ascii="宋体" w:hAnsi="宋体" w:cs="宋体"/>
        </w:rPr>
        <w:t>．本协议书在卖方提供履约担保后，由双方法定代表人或其委托代理人签署并加盖单位章后生效。</w:t>
      </w:r>
    </w:p>
    <w:p>
      <w:pPr>
        <w:spacing w:line="360" w:lineRule="auto"/>
        <w:ind w:firstLine="420" w:firstLineChars="200"/>
        <w:jc w:val="left"/>
        <w:rPr>
          <w:rFonts w:ascii="宋体" w:hAnsi="宋体" w:cs="宋体"/>
        </w:rPr>
      </w:pPr>
      <w:r>
        <w:rPr>
          <w:rFonts w:ascii="宋体" w:hAnsi="宋体" w:cs="宋体"/>
        </w:rPr>
        <w:t>7.</w:t>
      </w:r>
      <w:r>
        <w:rPr>
          <w:rFonts w:hint="eastAsia" w:ascii="宋体" w:hAnsi="宋体" w:cs="宋体"/>
        </w:rPr>
        <w:t>在履行合同过程中，计量支付金额达到合同金额时，本合同协议书自然终止。</w:t>
      </w:r>
    </w:p>
    <w:p>
      <w:pPr>
        <w:spacing w:line="360" w:lineRule="auto"/>
        <w:ind w:firstLine="420" w:firstLineChars="200"/>
        <w:jc w:val="left"/>
        <w:rPr>
          <w:rFonts w:ascii="宋体" w:hAnsi="宋体" w:cs="宋体"/>
        </w:rPr>
      </w:pPr>
      <w:r>
        <w:rPr>
          <w:rFonts w:ascii="宋体" w:hAnsi="宋体" w:cs="宋体"/>
        </w:rPr>
        <w:t>8</w:t>
      </w:r>
      <w:r>
        <w:rPr>
          <w:rFonts w:hint="eastAsia" w:ascii="宋体" w:hAnsi="宋体" w:cs="宋体"/>
        </w:rPr>
        <w:t>．本协议书一式柒份，买方执伍份，卖方执贰份。</w:t>
      </w:r>
    </w:p>
    <w:p>
      <w:pPr>
        <w:spacing w:line="360" w:lineRule="auto"/>
        <w:ind w:firstLine="420" w:firstLineChars="200"/>
        <w:jc w:val="left"/>
        <w:rPr>
          <w:rFonts w:ascii="宋体" w:hAnsi="宋体" w:cs="宋体"/>
        </w:rPr>
      </w:pPr>
      <w:r>
        <w:rPr>
          <w:rFonts w:ascii="宋体" w:hAnsi="宋体" w:cs="宋体"/>
        </w:rPr>
        <w:t>9</w:t>
      </w:r>
      <w:r>
        <w:rPr>
          <w:rFonts w:hint="eastAsia" w:ascii="宋体" w:hAnsi="宋体" w:cs="宋体"/>
        </w:rPr>
        <w:t>．合同未尽事宜，双方另行签订补充协议。补充协议是合同的组成部分。</w:t>
      </w:r>
    </w:p>
    <w:p>
      <w:pPr>
        <w:spacing w:line="360" w:lineRule="auto"/>
        <w:ind w:firstLine="420" w:firstLineChars="200"/>
        <w:jc w:val="left"/>
        <w:rPr>
          <w:rFonts w:ascii="宋体" w:hAnsi="宋体" w:cs="宋体"/>
        </w:rPr>
      </w:pPr>
    </w:p>
    <w:tbl>
      <w:tblPr>
        <w:tblStyle w:val="53"/>
        <w:tblW w:w="955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79"/>
        <w:gridCol w:w="47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b/>
                <w:bCs/>
              </w:rPr>
            </w:pPr>
            <w:r>
              <w:rPr>
                <w:rFonts w:hint="eastAsia" w:ascii="宋体" w:hAnsi="宋体" w:cs="宋体"/>
              </w:rPr>
              <w:t>买方：（盖章）</w:t>
            </w:r>
            <w:r>
              <w:rPr>
                <w:rFonts w:hint="eastAsia" w:ascii="宋体" w:hAnsi="宋体"/>
                <w:b/>
                <w:bCs/>
              </w:rPr>
              <w:t>南通港码头管理有限公司</w:t>
            </w:r>
          </w:p>
        </w:tc>
        <w:tc>
          <w:tcPr>
            <w:tcW w:w="4779" w:type="dxa"/>
            <w:vAlign w:val="center"/>
          </w:tcPr>
          <w:p>
            <w:pPr>
              <w:rPr>
                <w:rFonts w:ascii="宋体" w:hAnsi="宋体"/>
                <w:b/>
                <w:bCs/>
              </w:rPr>
            </w:pPr>
            <w:r>
              <w:rPr>
                <w:rFonts w:hint="eastAsia" w:ascii="宋体" w:hAnsi="宋体" w:cs="宋体"/>
              </w:rPr>
              <w:t>卖方：（盖章）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电话：</w:t>
            </w:r>
            <w:r>
              <w:rPr>
                <w:rFonts w:hint="eastAsia" w:ascii="宋体" w:hAnsi="宋体"/>
              </w:rPr>
              <w:t>0513-85166213</w:t>
            </w:r>
          </w:p>
        </w:tc>
        <w:tc>
          <w:tcPr>
            <w:tcW w:w="4779" w:type="dxa"/>
            <w:vAlign w:val="center"/>
          </w:tcPr>
          <w:p>
            <w:pPr>
              <w:rPr>
                <w:rFonts w:ascii="宋体" w:hAnsi="宋体"/>
              </w:rPr>
            </w:pPr>
            <w:r>
              <w:rPr>
                <w:rFonts w:hint="eastAsia" w:ascii="宋体" w:hAnsi="宋体" w:cs="宋体"/>
              </w:rPr>
              <w:t>电话：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传真：</w:t>
            </w:r>
          </w:p>
        </w:tc>
        <w:tc>
          <w:tcPr>
            <w:tcW w:w="4779" w:type="dxa"/>
            <w:vAlign w:val="center"/>
          </w:tcPr>
          <w:p>
            <w:pPr>
              <w:rPr>
                <w:rFonts w:ascii="宋体" w:hAnsi="宋体"/>
              </w:rPr>
            </w:pPr>
            <w:r>
              <w:rPr>
                <w:rFonts w:hint="eastAsia" w:ascii="宋体" w:hAnsi="宋体" w:cs="宋体"/>
              </w:rPr>
              <w:t>传真：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联系人：印桂清</w:t>
            </w:r>
          </w:p>
        </w:tc>
        <w:tc>
          <w:tcPr>
            <w:tcW w:w="4779" w:type="dxa"/>
            <w:vAlign w:val="center"/>
          </w:tcPr>
          <w:p>
            <w:pPr>
              <w:rPr>
                <w:rFonts w:ascii="宋体" w:hAnsi="宋体"/>
              </w:rPr>
            </w:pPr>
            <w:r>
              <w:rPr>
                <w:rFonts w:hint="eastAsia" w:ascii="宋体" w:hAnsi="宋体" w:cs="宋体"/>
              </w:rPr>
              <w:t>联系人：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开户银行：</w:t>
            </w:r>
            <w:r>
              <w:rPr>
                <w:rFonts w:hint="eastAsia" w:ascii="宋体" w:hAnsi="宋体"/>
              </w:rPr>
              <w:t>中国工商银行南通市人民路支行</w:t>
            </w:r>
          </w:p>
        </w:tc>
        <w:tc>
          <w:tcPr>
            <w:tcW w:w="4779" w:type="dxa"/>
            <w:vAlign w:val="center"/>
          </w:tcPr>
          <w:p>
            <w:pPr>
              <w:rPr>
                <w:rFonts w:ascii="宋体" w:hAnsi="宋体"/>
              </w:rPr>
            </w:pPr>
            <w:r>
              <w:rPr>
                <w:rFonts w:hint="eastAsia" w:ascii="宋体" w:hAnsi="宋体" w:cs="宋体"/>
              </w:rPr>
              <w:t>开户银行：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帐号：</w:t>
            </w:r>
            <w:r>
              <w:rPr>
                <w:rFonts w:hint="eastAsia" w:ascii="宋体" w:hAnsi="宋体"/>
              </w:rPr>
              <w:t>1111821209101551960</w:t>
            </w:r>
          </w:p>
        </w:tc>
        <w:tc>
          <w:tcPr>
            <w:tcW w:w="4779" w:type="dxa"/>
            <w:vAlign w:val="center"/>
          </w:tcPr>
          <w:p>
            <w:pPr>
              <w:rPr>
                <w:rFonts w:ascii="宋体" w:hAnsi="宋体"/>
              </w:rPr>
            </w:pPr>
            <w:r>
              <w:rPr>
                <w:rFonts w:hint="eastAsia" w:ascii="宋体" w:hAnsi="宋体" w:cs="宋体"/>
              </w:rPr>
              <w:t>帐号：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统一社会信用代码：</w:t>
            </w:r>
            <w:r>
              <w:rPr>
                <w:rFonts w:ascii="宋体" w:hAnsi="宋体" w:cs="宋体"/>
              </w:rPr>
              <w:t>91320612MA1X6THA0L</w:t>
            </w:r>
          </w:p>
        </w:tc>
        <w:tc>
          <w:tcPr>
            <w:tcW w:w="4779" w:type="dxa"/>
            <w:vAlign w:val="center"/>
          </w:tcPr>
          <w:p>
            <w:pPr>
              <w:rPr>
                <w:rFonts w:ascii="宋体" w:hAnsi="宋体"/>
              </w:rPr>
            </w:pPr>
            <w:r>
              <w:rPr>
                <w:rFonts w:hint="eastAsia" w:ascii="宋体" w:hAnsi="宋体" w:cs="宋体"/>
              </w:rPr>
              <w:t>统一社会信用代码：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法定代表人或其授权代理人：</w:t>
            </w:r>
          </w:p>
        </w:tc>
        <w:tc>
          <w:tcPr>
            <w:tcW w:w="4779" w:type="dxa"/>
            <w:vAlign w:val="center"/>
          </w:tcPr>
          <w:p>
            <w:pPr>
              <w:rPr>
                <w:rFonts w:ascii="宋体" w:hAnsi="宋体"/>
              </w:rPr>
            </w:pPr>
            <w:r>
              <w:rPr>
                <w:rFonts w:hint="eastAsia" w:ascii="宋体" w:hAnsi="宋体" w:cs="宋体"/>
              </w:rPr>
              <w:t>法定代表人或其授权代理人：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779" w:type="dxa"/>
            <w:vAlign w:val="center"/>
          </w:tcPr>
          <w:p>
            <w:pPr>
              <w:rPr>
                <w:rFonts w:ascii="宋体" w:hAnsi="宋体"/>
              </w:rPr>
            </w:pPr>
            <w:r>
              <w:rPr>
                <w:rFonts w:hint="eastAsia" w:ascii="宋体" w:hAnsi="宋体" w:cs="宋体"/>
              </w:rPr>
              <w:t>签订日期：                年   月　  日</w:t>
            </w:r>
          </w:p>
        </w:tc>
        <w:tc>
          <w:tcPr>
            <w:tcW w:w="4779" w:type="dxa"/>
            <w:vAlign w:val="center"/>
          </w:tcPr>
          <w:p>
            <w:pPr>
              <w:rPr>
                <w:rFonts w:ascii="宋体" w:hAnsi="宋体"/>
              </w:rPr>
            </w:pPr>
            <w:r>
              <w:rPr>
                <w:rFonts w:hint="eastAsia" w:ascii="宋体" w:hAnsi="宋体" w:cs="宋体"/>
              </w:rPr>
              <w:t>签订日期：                    年   月　 日</w:t>
            </w:r>
          </w:p>
        </w:tc>
      </w:tr>
    </w:tbl>
    <w:p>
      <w:pPr>
        <w:spacing w:line="480" w:lineRule="auto"/>
        <w:ind w:firstLine="420" w:firstLineChars="200"/>
        <w:jc w:val="left"/>
        <w:rPr>
          <w:rFonts w:ascii="宋体" w:hAnsi="宋体"/>
        </w:rPr>
      </w:pPr>
    </w:p>
    <w:p>
      <w:pPr>
        <w:spacing w:line="480" w:lineRule="auto"/>
        <w:ind w:firstLine="420" w:firstLineChars="200"/>
        <w:jc w:val="left"/>
        <w:rPr>
          <w:rFonts w:ascii="宋体" w:hAnsi="宋体"/>
        </w:rPr>
      </w:pPr>
    </w:p>
    <w:p>
      <w:pPr>
        <w:spacing w:line="480" w:lineRule="auto"/>
        <w:ind w:firstLine="420" w:firstLineChars="200"/>
        <w:jc w:val="left"/>
        <w:rPr>
          <w:rFonts w:ascii="宋体" w:hAnsi="宋体"/>
        </w:rPr>
      </w:pPr>
    </w:p>
    <w:p>
      <w:pPr>
        <w:spacing w:line="480" w:lineRule="auto"/>
        <w:ind w:firstLine="420" w:firstLineChars="200"/>
        <w:jc w:val="left"/>
        <w:rPr>
          <w:rFonts w:ascii="宋体" w:hAnsi="宋体"/>
        </w:rPr>
      </w:pPr>
    </w:p>
    <w:p>
      <w:pPr>
        <w:spacing w:line="480" w:lineRule="auto"/>
        <w:ind w:firstLine="420" w:firstLineChars="200"/>
        <w:jc w:val="left"/>
        <w:rPr>
          <w:rFonts w:ascii="宋体" w:hAnsi="宋体"/>
        </w:rPr>
        <w:sectPr>
          <w:pgSz w:w="11906" w:h="16838"/>
          <w:pgMar w:top="1418" w:right="1588" w:bottom="1418" w:left="1588" w:header="851" w:footer="992" w:gutter="0"/>
          <w:cols w:space="720" w:num="1"/>
          <w:docGrid w:linePitch="312" w:charSpace="0"/>
        </w:sectPr>
      </w:pPr>
    </w:p>
    <w:bookmarkEnd w:id="162"/>
    <w:bookmarkEnd w:id="163"/>
    <w:bookmarkEnd w:id="164"/>
    <w:bookmarkEnd w:id="165"/>
    <w:bookmarkEnd w:id="166"/>
    <w:p>
      <w:pPr>
        <w:pStyle w:val="5"/>
        <w:spacing w:before="240"/>
        <w:rPr>
          <w:rFonts w:cs="宋体"/>
        </w:rPr>
      </w:pPr>
      <w:r>
        <w:rPr>
          <w:rFonts w:hint="eastAsia" w:cs="宋体"/>
        </w:rPr>
        <w:t>附件一：合同通用条款</w:t>
      </w:r>
    </w:p>
    <w:p>
      <w:pPr>
        <w:spacing w:beforeLines="50"/>
        <w:jc w:val="center"/>
        <w:rPr>
          <w:rFonts w:ascii="黑体" w:eastAsia="黑体" w:cs="黑体"/>
          <w:b/>
          <w:bCs/>
          <w:sz w:val="30"/>
          <w:szCs w:val="30"/>
        </w:rPr>
      </w:pPr>
      <w:r>
        <w:rPr>
          <w:rFonts w:hint="eastAsia" w:ascii="黑体" w:eastAsia="黑体" w:cs="黑体"/>
          <w:b/>
          <w:bCs/>
          <w:sz w:val="30"/>
          <w:szCs w:val="30"/>
        </w:rPr>
        <w:t>合同通用条款</w:t>
      </w:r>
    </w:p>
    <w:p>
      <w:pPr>
        <w:pStyle w:val="6"/>
        <w:spacing w:before="240"/>
        <w:rPr>
          <w:rFonts w:cs="宋体"/>
          <w:sz w:val="24"/>
          <w:szCs w:val="24"/>
        </w:rPr>
      </w:pPr>
      <w:r>
        <w:rPr>
          <w:rFonts w:hint="eastAsia" w:cs="宋体"/>
          <w:sz w:val="24"/>
          <w:szCs w:val="24"/>
        </w:rPr>
        <w:t>一  词语定义及合同文件</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  定义</w:t>
      </w:r>
    </w:p>
    <w:p>
      <w:pPr>
        <w:pStyle w:val="17"/>
        <w:snapToGrid w:val="0"/>
        <w:spacing w:line="360" w:lineRule="auto"/>
        <w:jc w:val="left"/>
        <w:rPr>
          <w:rFonts w:ascii="宋体" w:hAnsi="宋体" w:cs="宋体"/>
          <w:sz w:val="21"/>
        </w:rPr>
      </w:pPr>
      <w:r>
        <w:rPr>
          <w:rFonts w:hint="eastAsia" w:ascii="宋体" w:hAnsi="宋体" w:cs="宋体"/>
          <w:sz w:val="21"/>
        </w:rPr>
        <w:t>本合同中的下列术语应解释为：</w:t>
      </w:r>
    </w:p>
    <w:p>
      <w:pPr>
        <w:pStyle w:val="17"/>
        <w:snapToGrid w:val="0"/>
        <w:spacing w:line="360" w:lineRule="auto"/>
        <w:jc w:val="left"/>
        <w:rPr>
          <w:rFonts w:ascii="宋体" w:hAnsi="宋体" w:cs="宋体"/>
          <w:sz w:val="21"/>
        </w:rPr>
      </w:pPr>
      <w:r>
        <w:rPr>
          <w:rFonts w:hint="eastAsia" w:ascii="宋体" w:hAnsi="宋体" w:cs="宋体"/>
          <w:sz w:val="21"/>
        </w:rPr>
        <w:t>1.1  “合同”指买方和卖方(以下简称合同双方)签署的协议，包括所有的附件、附录和构成合同的所有其他文件。</w:t>
      </w:r>
    </w:p>
    <w:p>
      <w:pPr>
        <w:pStyle w:val="17"/>
        <w:snapToGrid w:val="0"/>
        <w:spacing w:line="360" w:lineRule="auto"/>
        <w:jc w:val="left"/>
        <w:rPr>
          <w:rFonts w:ascii="宋体" w:hAnsi="宋体" w:cs="宋体"/>
          <w:sz w:val="21"/>
        </w:rPr>
      </w:pPr>
      <w:r>
        <w:rPr>
          <w:rFonts w:hint="eastAsia" w:ascii="宋体" w:hAnsi="宋体" w:cs="宋体"/>
          <w:sz w:val="21"/>
        </w:rPr>
        <w:t>1.2“合同价格”指根据合同规定，在卖方全面、正确地履行合同义务后买方应支付给卖方的价格。</w:t>
      </w:r>
    </w:p>
    <w:p>
      <w:pPr>
        <w:pStyle w:val="17"/>
        <w:snapToGrid w:val="0"/>
        <w:spacing w:line="360" w:lineRule="auto"/>
        <w:jc w:val="left"/>
        <w:rPr>
          <w:rFonts w:ascii="宋体" w:hAnsi="宋体" w:cs="宋体"/>
          <w:sz w:val="21"/>
        </w:rPr>
      </w:pPr>
      <w:r>
        <w:rPr>
          <w:rFonts w:hint="eastAsia" w:ascii="宋体" w:hAnsi="宋体" w:cs="宋体"/>
          <w:sz w:val="21"/>
        </w:rPr>
        <w:t>1.3“货物”指卖方按合同要求，须向买方提供的一切材料、设备、标准的或非标准的机械和产品、备件及相应的技术文件。本合同买方需采购的货物品种和备件在合同专用条款资料表载明。</w:t>
      </w:r>
    </w:p>
    <w:p>
      <w:pPr>
        <w:pStyle w:val="17"/>
        <w:snapToGrid w:val="0"/>
        <w:spacing w:line="360" w:lineRule="auto"/>
        <w:jc w:val="left"/>
        <w:rPr>
          <w:rFonts w:ascii="宋体" w:hAnsi="宋体" w:cs="宋体"/>
          <w:sz w:val="21"/>
        </w:rPr>
      </w:pPr>
      <w:r>
        <w:rPr>
          <w:rFonts w:hint="eastAsia" w:ascii="宋体" w:hAnsi="宋体" w:cs="宋体"/>
          <w:sz w:val="21"/>
        </w:rPr>
        <w:t>1.4“原产地”系指物资的开采、生长和生产地，或提供辅助服务的来源地。</w:t>
      </w:r>
    </w:p>
    <w:p>
      <w:pPr>
        <w:pStyle w:val="17"/>
        <w:snapToGrid w:val="0"/>
        <w:spacing w:line="360" w:lineRule="auto"/>
        <w:jc w:val="left"/>
        <w:rPr>
          <w:rFonts w:ascii="宋体" w:hAnsi="宋体" w:cs="宋体"/>
          <w:sz w:val="21"/>
        </w:rPr>
      </w:pPr>
      <w:r>
        <w:rPr>
          <w:rFonts w:hint="eastAsia" w:ascii="宋体" w:hAnsi="宋体" w:cs="宋体"/>
          <w:sz w:val="21"/>
        </w:rPr>
        <w:t>1.5 “服务”指合同规定在本项目中卖方须承担的与供货有关的相关辅助服务。如运输、保险以及其他的伴随服务，例如安装、调试、提供技术协助、培训以及其他合同中规定卖方应承担的其他义务。</w:t>
      </w:r>
    </w:p>
    <w:p>
      <w:pPr>
        <w:pStyle w:val="17"/>
        <w:snapToGrid w:val="0"/>
        <w:spacing w:line="360" w:lineRule="auto"/>
        <w:jc w:val="left"/>
        <w:rPr>
          <w:rFonts w:ascii="宋体" w:hAnsi="宋体" w:cs="宋体"/>
          <w:sz w:val="21"/>
        </w:rPr>
      </w:pPr>
      <w:r>
        <w:rPr>
          <w:rFonts w:hint="eastAsia" w:ascii="宋体" w:hAnsi="宋体" w:cs="宋体"/>
          <w:sz w:val="21"/>
        </w:rPr>
        <w:t>1.6“买方”指合同专用条款资料表中载明的购买货物及服务的经济实体及其合法的继承人。</w:t>
      </w:r>
    </w:p>
    <w:p>
      <w:pPr>
        <w:pStyle w:val="17"/>
        <w:snapToGrid w:val="0"/>
        <w:spacing w:line="360" w:lineRule="auto"/>
        <w:jc w:val="left"/>
        <w:rPr>
          <w:rFonts w:ascii="宋体" w:hAnsi="宋体" w:cs="宋体"/>
          <w:sz w:val="21"/>
        </w:rPr>
      </w:pPr>
      <w:r>
        <w:rPr>
          <w:rFonts w:hint="eastAsia" w:ascii="宋体" w:hAnsi="宋体" w:cs="宋体"/>
          <w:sz w:val="21"/>
        </w:rPr>
        <w:t>1.7“卖方”指合同专用条款资料表中载明的提供合同货物和服务的供货商及其合法的继承人。</w:t>
      </w:r>
    </w:p>
    <w:p>
      <w:pPr>
        <w:pStyle w:val="17"/>
        <w:snapToGrid w:val="0"/>
        <w:spacing w:line="360" w:lineRule="auto"/>
        <w:jc w:val="left"/>
        <w:rPr>
          <w:rFonts w:ascii="宋体" w:hAnsi="宋体" w:cs="宋体"/>
          <w:sz w:val="21"/>
        </w:rPr>
      </w:pPr>
      <w:r>
        <w:rPr>
          <w:rFonts w:hint="eastAsia" w:ascii="宋体" w:hAnsi="宋体" w:cs="宋体"/>
          <w:sz w:val="21"/>
        </w:rPr>
        <w:t>1.8“监理工程师”是指业主为实施本合同委托的承担本合同工程监理工作的独立法人。监理工程师的名称将在专用条款中写明。</w:t>
      </w:r>
    </w:p>
    <w:p>
      <w:pPr>
        <w:pStyle w:val="17"/>
        <w:snapToGrid w:val="0"/>
        <w:spacing w:line="360" w:lineRule="auto"/>
        <w:jc w:val="left"/>
        <w:rPr>
          <w:rFonts w:ascii="宋体" w:hAnsi="宋体" w:cs="宋体"/>
          <w:sz w:val="21"/>
        </w:rPr>
      </w:pPr>
      <w:r>
        <w:rPr>
          <w:rFonts w:hint="eastAsia" w:ascii="宋体" w:hAnsi="宋体" w:cs="宋体"/>
          <w:sz w:val="21"/>
        </w:rPr>
        <w:t>1.9“总监理工程师”指代表监理工程师全面履行监理服务合同规定的职责和义务的总负责人(简称“总监”)。</w:t>
      </w:r>
    </w:p>
    <w:p>
      <w:pPr>
        <w:pStyle w:val="17"/>
        <w:snapToGrid w:val="0"/>
        <w:spacing w:line="360" w:lineRule="auto"/>
        <w:jc w:val="left"/>
        <w:rPr>
          <w:rFonts w:ascii="宋体" w:hAnsi="宋体" w:cs="宋体"/>
          <w:sz w:val="21"/>
        </w:rPr>
      </w:pPr>
      <w:r>
        <w:rPr>
          <w:rFonts w:hint="eastAsia" w:ascii="宋体" w:hAnsi="宋体" w:cs="宋体"/>
          <w:sz w:val="21"/>
        </w:rPr>
        <w:t>1.10“项目经理”指由卖方书面委派常驻现场负责执行本合同和管理本合同工程的代表。</w:t>
      </w:r>
    </w:p>
    <w:p>
      <w:pPr>
        <w:pStyle w:val="17"/>
        <w:snapToGrid w:val="0"/>
        <w:spacing w:line="360" w:lineRule="auto"/>
        <w:jc w:val="left"/>
        <w:rPr>
          <w:rFonts w:ascii="宋体" w:hAnsi="宋体" w:cs="宋体"/>
          <w:sz w:val="21"/>
        </w:rPr>
      </w:pPr>
      <w:r>
        <w:rPr>
          <w:rFonts w:hint="eastAsia" w:ascii="宋体" w:hAnsi="宋体" w:cs="宋体"/>
          <w:sz w:val="21"/>
        </w:rPr>
        <w:t>1.11“项目现场”指将实施永久工程和运送生产设备和材料到达的地点，以及合同中可能指定为现场组成部分的任何其他场所，及为本项建设提供服务的场所。其名称在合同专用条款资料表中载明。</w:t>
      </w:r>
    </w:p>
    <w:p>
      <w:pPr>
        <w:pStyle w:val="17"/>
        <w:snapToGrid w:val="0"/>
        <w:spacing w:line="360" w:lineRule="auto"/>
        <w:jc w:val="left"/>
        <w:rPr>
          <w:rFonts w:ascii="宋体" w:hAnsi="宋体" w:cs="宋体"/>
          <w:sz w:val="21"/>
        </w:rPr>
      </w:pPr>
      <w:r>
        <w:rPr>
          <w:rFonts w:hint="eastAsia" w:ascii="宋体" w:hAnsi="宋体" w:cs="宋体"/>
          <w:sz w:val="21"/>
        </w:rPr>
        <w:t>1.12 “合同工程”或“标段工程”指合同协议书中写明的合同范围内的全部工程或提供全部货物和服务。</w:t>
      </w:r>
    </w:p>
    <w:p>
      <w:pPr>
        <w:pStyle w:val="17"/>
        <w:snapToGrid w:val="0"/>
        <w:spacing w:line="360" w:lineRule="auto"/>
        <w:jc w:val="left"/>
        <w:rPr>
          <w:rFonts w:ascii="宋体" w:hAnsi="宋体" w:cs="宋体"/>
          <w:sz w:val="21"/>
        </w:rPr>
      </w:pPr>
      <w:r>
        <w:rPr>
          <w:rFonts w:hint="eastAsia" w:ascii="宋体" w:hAnsi="宋体" w:cs="宋体"/>
          <w:sz w:val="21"/>
        </w:rPr>
        <w:t>1.13“技术规范”指合同中包括的本合同工程的技术规范和在技术规范中引用的国家、部颁或省、市标准的规范、规程和标准，包括由卖方提交并经监理工程师批准的对技术规范的修改或补充。</w:t>
      </w:r>
    </w:p>
    <w:p>
      <w:pPr>
        <w:pStyle w:val="17"/>
        <w:snapToGrid w:val="0"/>
        <w:spacing w:line="360" w:lineRule="auto"/>
        <w:jc w:val="left"/>
        <w:rPr>
          <w:rFonts w:ascii="宋体" w:hAnsi="宋体" w:cs="宋体"/>
          <w:sz w:val="21"/>
        </w:rPr>
      </w:pPr>
      <w:r>
        <w:rPr>
          <w:rFonts w:hint="eastAsia" w:ascii="宋体" w:hAnsi="宋体" w:cs="宋体"/>
          <w:sz w:val="21"/>
        </w:rPr>
        <w:t>1.14“图纸”指监理工程师按本合同规定向卖方提供的全部设计图纸和有关技术资料，以及由监理工程师签署的变更设计图纸，或由卖方提交并经监理工程师批准的施工工艺图纸、计算书和其他有关技术资料。</w:t>
      </w:r>
    </w:p>
    <w:p>
      <w:pPr>
        <w:pStyle w:val="17"/>
        <w:snapToGrid w:val="0"/>
        <w:spacing w:line="360" w:lineRule="auto"/>
        <w:jc w:val="left"/>
        <w:rPr>
          <w:rFonts w:ascii="宋体" w:hAnsi="宋体" w:cs="宋体"/>
          <w:sz w:val="21"/>
        </w:rPr>
      </w:pPr>
      <w:r>
        <w:rPr>
          <w:rFonts w:hint="eastAsia" w:ascii="宋体" w:hAnsi="宋体" w:cs="宋体"/>
          <w:sz w:val="21"/>
        </w:rPr>
        <w:t>1.15“开工日期”指合同协议书中规定的开始施工或供货的绝对或相对的日期。具体日期在合同专用条款资料表中载明。</w:t>
      </w:r>
    </w:p>
    <w:p>
      <w:pPr>
        <w:pStyle w:val="17"/>
        <w:snapToGrid w:val="0"/>
        <w:spacing w:line="360" w:lineRule="auto"/>
        <w:jc w:val="left"/>
        <w:rPr>
          <w:rFonts w:ascii="宋体" w:hAnsi="宋体" w:cs="宋体"/>
          <w:sz w:val="21"/>
        </w:rPr>
      </w:pPr>
      <w:r>
        <w:rPr>
          <w:rFonts w:hint="eastAsia" w:ascii="宋体" w:hAnsi="宋体" w:cs="宋体"/>
          <w:sz w:val="21"/>
        </w:rPr>
        <w:t>1.16“交工日期”指卖方完成合同规定的全部任务并交付买方试运行的绝对或相对的日期。具体日期在合同专用条款资料表中载明。</w:t>
      </w:r>
    </w:p>
    <w:p>
      <w:pPr>
        <w:pStyle w:val="17"/>
        <w:snapToGrid w:val="0"/>
        <w:spacing w:line="360" w:lineRule="auto"/>
        <w:jc w:val="left"/>
        <w:rPr>
          <w:rFonts w:ascii="宋体" w:hAnsi="宋体" w:cs="宋体"/>
          <w:sz w:val="21"/>
        </w:rPr>
      </w:pPr>
      <w:r>
        <w:rPr>
          <w:rFonts w:hint="eastAsia" w:ascii="宋体" w:hAnsi="宋体" w:cs="宋体"/>
          <w:sz w:val="21"/>
        </w:rPr>
        <w:t>1.17“验收”指买方根据技术规格接受合同货物所依据的程序和条件。</w:t>
      </w:r>
    </w:p>
    <w:p>
      <w:pPr>
        <w:pStyle w:val="17"/>
        <w:snapToGrid w:val="0"/>
        <w:spacing w:line="360" w:lineRule="auto"/>
        <w:jc w:val="left"/>
        <w:rPr>
          <w:rFonts w:ascii="宋体" w:hAnsi="宋体" w:cs="宋体"/>
          <w:sz w:val="21"/>
        </w:rPr>
      </w:pPr>
      <w:r>
        <w:rPr>
          <w:rFonts w:hint="eastAsia" w:ascii="宋体" w:hAnsi="宋体" w:cs="宋体"/>
          <w:sz w:val="21"/>
        </w:rPr>
        <w:t>1.18“质量保证期”指在投标书附录中写明的质量保证期，其时间从卖方按照本合同规定供应货物的工程通过交工验收之日算起。</w:t>
      </w:r>
    </w:p>
    <w:p>
      <w:pPr>
        <w:pStyle w:val="17"/>
        <w:snapToGrid w:val="0"/>
        <w:spacing w:line="360" w:lineRule="auto"/>
        <w:jc w:val="left"/>
        <w:rPr>
          <w:rFonts w:ascii="宋体" w:hAnsi="宋体" w:cs="宋体"/>
          <w:sz w:val="21"/>
        </w:rPr>
      </w:pPr>
      <w:r>
        <w:rPr>
          <w:rFonts w:hint="eastAsia" w:ascii="宋体" w:hAnsi="宋体" w:cs="宋体"/>
          <w:sz w:val="21"/>
        </w:rPr>
        <w:t>1.19“保留金”指买方按本合同规定扣留的款项。</w:t>
      </w:r>
    </w:p>
    <w:p>
      <w:pPr>
        <w:pStyle w:val="17"/>
        <w:snapToGrid w:val="0"/>
        <w:spacing w:line="360" w:lineRule="auto"/>
        <w:jc w:val="left"/>
        <w:rPr>
          <w:rFonts w:ascii="宋体" w:hAnsi="宋体" w:cs="宋体"/>
          <w:sz w:val="21"/>
        </w:rPr>
      </w:pPr>
      <w:r>
        <w:rPr>
          <w:rFonts w:hint="eastAsia" w:ascii="宋体" w:hAnsi="宋体" w:cs="宋体"/>
          <w:sz w:val="21"/>
        </w:rPr>
        <w:t>1.20“天”指日历日，“年”、“月”、“日”按公历计算。</w:t>
      </w:r>
    </w:p>
    <w:p>
      <w:pPr>
        <w:pStyle w:val="17"/>
        <w:snapToGrid w:val="0"/>
        <w:spacing w:line="360" w:lineRule="auto"/>
        <w:jc w:val="left"/>
        <w:rPr>
          <w:rFonts w:ascii="宋体" w:hAnsi="宋体" w:cs="宋体"/>
          <w:sz w:val="21"/>
        </w:rPr>
      </w:pPr>
      <w:r>
        <w:rPr>
          <w:rFonts w:hint="eastAsia" w:ascii="宋体" w:hAnsi="宋体" w:cs="宋体"/>
          <w:sz w:val="21"/>
        </w:rPr>
        <w:t>1.21“时间”合同文件中的所有时间均为北京时间。</w:t>
      </w:r>
    </w:p>
    <w:p>
      <w:pPr>
        <w:pStyle w:val="17"/>
        <w:snapToGrid w:val="0"/>
        <w:spacing w:line="360" w:lineRule="auto"/>
        <w:jc w:val="left"/>
        <w:rPr>
          <w:rFonts w:ascii="宋体" w:hAnsi="宋体" w:cs="宋体"/>
          <w:sz w:val="21"/>
        </w:rPr>
      </w:pPr>
      <w:r>
        <w:rPr>
          <w:rFonts w:hint="eastAsia" w:ascii="宋体" w:hAnsi="宋体" w:cs="宋体"/>
          <w:sz w:val="21"/>
        </w:rPr>
        <w:t>1.22“国家”指中华人民共和国。</w:t>
      </w:r>
    </w:p>
    <w:p>
      <w:pPr>
        <w:pStyle w:val="17"/>
        <w:snapToGrid w:val="0"/>
        <w:spacing w:line="360" w:lineRule="auto"/>
        <w:jc w:val="left"/>
        <w:rPr>
          <w:rFonts w:ascii="宋体" w:hAnsi="宋体" w:cs="宋体"/>
          <w:sz w:val="21"/>
        </w:rPr>
      </w:pPr>
      <w:r>
        <w:rPr>
          <w:rFonts w:hint="eastAsia" w:ascii="宋体" w:hAnsi="宋体" w:cs="宋体"/>
          <w:sz w:val="21"/>
        </w:rPr>
        <w:t>1.23“不可抗力”指因战争、动乱、空中飞行物坠落或其他非买、卖双方责任造成的爆炸、火灾，以及协议条款约定的自然灾害等不能预见、不能避免且不能克服的客观情况。</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  合同文件使用的语言文字和法律</w:t>
      </w:r>
    </w:p>
    <w:p>
      <w:pPr>
        <w:pStyle w:val="17"/>
        <w:snapToGrid w:val="0"/>
        <w:spacing w:line="360" w:lineRule="auto"/>
        <w:jc w:val="left"/>
        <w:rPr>
          <w:rFonts w:ascii="宋体" w:hAnsi="宋体" w:cs="宋体"/>
          <w:sz w:val="21"/>
        </w:rPr>
      </w:pPr>
      <w:r>
        <w:rPr>
          <w:rFonts w:hint="eastAsia" w:ascii="宋体" w:hAnsi="宋体" w:cs="宋体"/>
          <w:sz w:val="21"/>
        </w:rPr>
        <w:t>2.1合同文件使用汉语书写和解释、说明。</w:t>
      </w:r>
    </w:p>
    <w:p>
      <w:pPr>
        <w:pStyle w:val="17"/>
        <w:snapToGrid w:val="0"/>
        <w:spacing w:line="360" w:lineRule="auto"/>
        <w:jc w:val="left"/>
        <w:rPr>
          <w:rFonts w:ascii="宋体" w:hAnsi="宋体" w:cs="宋体"/>
          <w:sz w:val="21"/>
        </w:rPr>
      </w:pPr>
      <w:r>
        <w:rPr>
          <w:rFonts w:hint="eastAsia" w:ascii="宋体" w:hAnsi="宋体" w:cs="宋体"/>
          <w:sz w:val="21"/>
        </w:rPr>
        <w:t>2.2本合同必须服从国家现行法律、法规及工程所在地的地方法规；合同的解释应以上述法律和法规为准。</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  适用范围</w:t>
      </w:r>
    </w:p>
    <w:p>
      <w:pPr>
        <w:pStyle w:val="17"/>
        <w:snapToGrid w:val="0"/>
        <w:spacing w:line="360" w:lineRule="auto"/>
        <w:jc w:val="left"/>
        <w:rPr>
          <w:rFonts w:ascii="宋体" w:hAnsi="宋体" w:cs="宋体"/>
          <w:sz w:val="21"/>
        </w:rPr>
      </w:pPr>
      <w:r>
        <w:rPr>
          <w:rFonts w:hint="eastAsia" w:ascii="宋体" w:hAnsi="宋体" w:cs="宋体"/>
          <w:sz w:val="21"/>
        </w:rPr>
        <w:t>3.1  本合同通用条款适用于江苏省交通运输行业与产业项目国内货物采购项目招标。</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4  合同文件的优先顺序</w:t>
      </w:r>
    </w:p>
    <w:p>
      <w:pPr>
        <w:pStyle w:val="17"/>
        <w:snapToGrid w:val="0"/>
        <w:spacing w:line="360" w:lineRule="auto"/>
        <w:jc w:val="left"/>
        <w:rPr>
          <w:rFonts w:ascii="宋体" w:hAnsi="宋体" w:cs="宋体"/>
          <w:sz w:val="21"/>
        </w:rPr>
      </w:pPr>
      <w:r>
        <w:rPr>
          <w:rFonts w:hint="eastAsia" w:ascii="宋体" w:hAnsi="宋体" w:cs="宋体"/>
          <w:sz w:val="21"/>
        </w:rPr>
        <w:t>4.1  合同文件应能互相解释，互为说明。除合同另有约定外，其组成和解释顺序如下：</w:t>
      </w:r>
    </w:p>
    <w:p>
      <w:pPr>
        <w:pStyle w:val="17"/>
        <w:snapToGrid w:val="0"/>
        <w:spacing w:line="360" w:lineRule="auto"/>
        <w:jc w:val="left"/>
        <w:rPr>
          <w:rFonts w:ascii="宋体" w:hAnsi="宋体" w:cs="宋体"/>
          <w:sz w:val="21"/>
        </w:rPr>
      </w:pPr>
      <w:r>
        <w:rPr>
          <w:rFonts w:hint="eastAsia" w:ascii="宋体" w:hAnsi="宋体" w:cs="宋体"/>
          <w:sz w:val="21"/>
        </w:rPr>
        <w:t>(1)在合同实施期间，买方与卖方签订的任何其他有效协议；</w:t>
      </w:r>
    </w:p>
    <w:p>
      <w:pPr>
        <w:pStyle w:val="17"/>
        <w:snapToGrid w:val="0"/>
        <w:spacing w:line="360" w:lineRule="auto"/>
        <w:jc w:val="left"/>
        <w:rPr>
          <w:rFonts w:ascii="宋体" w:hAnsi="宋体" w:cs="宋体"/>
          <w:sz w:val="21"/>
        </w:rPr>
      </w:pPr>
      <w:r>
        <w:rPr>
          <w:rFonts w:hint="eastAsia" w:ascii="宋体" w:hAnsi="宋体" w:cs="宋体"/>
          <w:sz w:val="21"/>
        </w:rPr>
        <w:t>(2)补充合同条款(如果有)；</w:t>
      </w:r>
    </w:p>
    <w:p>
      <w:pPr>
        <w:pStyle w:val="17"/>
        <w:snapToGrid w:val="0"/>
        <w:spacing w:line="360" w:lineRule="auto"/>
        <w:jc w:val="left"/>
        <w:rPr>
          <w:rFonts w:ascii="宋体" w:hAnsi="宋体" w:cs="宋体"/>
          <w:sz w:val="21"/>
        </w:rPr>
      </w:pPr>
      <w:r>
        <w:rPr>
          <w:rFonts w:hint="eastAsia" w:ascii="宋体" w:hAnsi="宋体" w:cs="宋体"/>
          <w:sz w:val="21"/>
        </w:rPr>
        <w:t>(3)本合同协议及附件(含合同谈判中澄清文件，如果有)；</w:t>
      </w:r>
    </w:p>
    <w:p>
      <w:pPr>
        <w:pStyle w:val="17"/>
        <w:snapToGrid w:val="0"/>
        <w:spacing w:line="360" w:lineRule="auto"/>
        <w:jc w:val="left"/>
        <w:rPr>
          <w:rFonts w:ascii="宋体" w:hAnsi="宋体" w:cs="宋体"/>
          <w:sz w:val="21"/>
        </w:rPr>
      </w:pPr>
      <w:r>
        <w:rPr>
          <w:rFonts w:hint="eastAsia" w:ascii="宋体" w:hAnsi="宋体" w:cs="宋体"/>
          <w:sz w:val="21"/>
        </w:rPr>
        <w:t>(4)中标通知书；</w:t>
      </w:r>
    </w:p>
    <w:p>
      <w:pPr>
        <w:pStyle w:val="17"/>
        <w:snapToGrid w:val="0"/>
        <w:spacing w:line="360" w:lineRule="auto"/>
        <w:jc w:val="left"/>
        <w:rPr>
          <w:rFonts w:ascii="宋体" w:hAnsi="宋体" w:cs="宋体"/>
          <w:sz w:val="21"/>
        </w:rPr>
      </w:pPr>
      <w:r>
        <w:rPr>
          <w:rFonts w:hint="eastAsia" w:ascii="宋体" w:hAnsi="宋体" w:cs="宋体"/>
          <w:sz w:val="21"/>
        </w:rPr>
        <w:t>(5)投标书(含卖方在评标期间递交和确认并经买方同意的对有关问题的补充资料和澄清文件等，如果有)；</w:t>
      </w:r>
    </w:p>
    <w:p>
      <w:pPr>
        <w:pStyle w:val="17"/>
        <w:snapToGrid w:val="0"/>
        <w:spacing w:line="360" w:lineRule="auto"/>
        <w:jc w:val="left"/>
        <w:rPr>
          <w:rFonts w:ascii="宋体" w:hAnsi="宋体" w:cs="宋体"/>
          <w:sz w:val="21"/>
        </w:rPr>
      </w:pPr>
      <w:r>
        <w:rPr>
          <w:rFonts w:hint="eastAsia" w:ascii="宋体" w:hAnsi="宋体" w:cs="宋体"/>
          <w:sz w:val="21"/>
        </w:rPr>
        <w:t>(6)编号的补遗书；</w:t>
      </w:r>
    </w:p>
    <w:p>
      <w:pPr>
        <w:pStyle w:val="17"/>
        <w:snapToGrid w:val="0"/>
        <w:spacing w:line="360" w:lineRule="auto"/>
        <w:jc w:val="left"/>
        <w:rPr>
          <w:rFonts w:ascii="宋体" w:hAnsi="宋体" w:cs="宋体"/>
          <w:sz w:val="21"/>
        </w:rPr>
      </w:pPr>
      <w:r>
        <w:rPr>
          <w:rFonts w:hint="eastAsia" w:ascii="宋体" w:hAnsi="宋体" w:cs="宋体"/>
          <w:sz w:val="21"/>
        </w:rPr>
        <w:t>(7)合同专用条款资料表、合同专用条款(如有)；</w:t>
      </w:r>
    </w:p>
    <w:p>
      <w:pPr>
        <w:pStyle w:val="17"/>
        <w:snapToGrid w:val="0"/>
        <w:spacing w:line="360" w:lineRule="auto"/>
        <w:jc w:val="left"/>
        <w:rPr>
          <w:rFonts w:ascii="宋体" w:hAnsi="宋体" w:cs="宋体"/>
          <w:sz w:val="21"/>
        </w:rPr>
      </w:pPr>
      <w:r>
        <w:rPr>
          <w:rFonts w:hint="eastAsia" w:ascii="宋体" w:hAnsi="宋体" w:cs="宋体"/>
          <w:sz w:val="21"/>
        </w:rPr>
        <w:t>(8)合同通用条款；</w:t>
      </w:r>
    </w:p>
    <w:p>
      <w:pPr>
        <w:pStyle w:val="17"/>
        <w:snapToGrid w:val="0"/>
        <w:spacing w:line="360" w:lineRule="auto"/>
        <w:jc w:val="left"/>
        <w:rPr>
          <w:rFonts w:ascii="宋体" w:hAnsi="宋体" w:cs="宋体"/>
          <w:sz w:val="21"/>
        </w:rPr>
      </w:pPr>
      <w:r>
        <w:rPr>
          <w:rFonts w:hint="eastAsia" w:ascii="宋体" w:hAnsi="宋体" w:cs="宋体"/>
          <w:sz w:val="21"/>
        </w:rPr>
        <w:t>(9)技术规范；</w:t>
      </w:r>
    </w:p>
    <w:p>
      <w:pPr>
        <w:pStyle w:val="17"/>
        <w:snapToGrid w:val="0"/>
        <w:spacing w:line="360" w:lineRule="auto"/>
        <w:jc w:val="left"/>
        <w:rPr>
          <w:rFonts w:ascii="宋体" w:hAnsi="宋体" w:cs="宋体"/>
          <w:sz w:val="21"/>
        </w:rPr>
      </w:pPr>
      <w:r>
        <w:rPr>
          <w:rFonts w:hint="eastAsia" w:ascii="宋体" w:hAnsi="宋体" w:cs="宋体"/>
          <w:sz w:val="21"/>
        </w:rPr>
        <w:t>(10)标价的报价单；</w:t>
      </w:r>
    </w:p>
    <w:p>
      <w:pPr>
        <w:pStyle w:val="17"/>
        <w:snapToGrid w:val="0"/>
        <w:spacing w:line="360" w:lineRule="auto"/>
        <w:jc w:val="left"/>
        <w:rPr>
          <w:rFonts w:ascii="宋体" w:hAnsi="宋体" w:cs="宋体"/>
          <w:sz w:val="21"/>
        </w:rPr>
      </w:pPr>
      <w:r>
        <w:rPr>
          <w:rFonts w:hint="eastAsia" w:ascii="宋体" w:hAnsi="宋体" w:cs="宋体"/>
          <w:sz w:val="21"/>
        </w:rPr>
        <w:t>(11)投标文件其他部分；</w:t>
      </w:r>
    </w:p>
    <w:p>
      <w:pPr>
        <w:pStyle w:val="17"/>
        <w:snapToGrid w:val="0"/>
        <w:spacing w:line="360" w:lineRule="auto"/>
        <w:jc w:val="left"/>
        <w:rPr>
          <w:rFonts w:ascii="宋体" w:hAnsi="宋体" w:cs="宋体"/>
          <w:sz w:val="21"/>
        </w:rPr>
      </w:pPr>
      <w:r>
        <w:rPr>
          <w:rFonts w:hint="eastAsia" w:ascii="宋体" w:hAnsi="宋体" w:cs="宋体"/>
          <w:sz w:val="21"/>
        </w:rPr>
        <w:t>(12)构成本合同组成部分的其他文件。</w:t>
      </w:r>
    </w:p>
    <w:p>
      <w:pPr>
        <w:pStyle w:val="17"/>
        <w:snapToGrid w:val="0"/>
        <w:spacing w:line="360" w:lineRule="auto"/>
        <w:jc w:val="left"/>
        <w:rPr>
          <w:rFonts w:ascii="宋体" w:hAnsi="宋体" w:cs="宋体"/>
          <w:sz w:val="21"/>
        </w:rPr>
      </w:pPr>
      <w:r>
        <w:rPr>
          <w:rFonts w:hint="eastAsia" w:ascii="宋体" w:hAnsi="宋体" w:cs="宋体"/>
          <w:sz w:val="21"/>
        </w:rPr>
        <w:t>当合同文件出现含糊不清或不一致时，由双方协商解决，协商不成时，按本通用条款第25条约定的办法解决。</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5  技术规格与标准</w:t>
      </w:r>
    </w:p>
    <w:p>
      <w:pPr>
        <w:pStyle w:val="17"/>
        <w:snapToGrid w:val="0"/>
        <w:spacing w:line="360" w:lineRule="auto"/>
        <w:jc w:val="left"/>
        <w:rPr>
          <w:rFonts w:ascii="宋体" w:hAnsi="宋体" w:cs="宋体"/>
          <w:sz w:val="21"/>
        </w:rPr>
      </w:pPr>
      <w:r>
        <w:rPr>
          <w:rFonts w:hint="eastAsia" w:ascii="宋体" w:hAnsi="宋体" w:cs="宋体"/>
          <w:sz w:val="21"/>
        </w:rPr>
        <w:t>5.1  本合同项下所供货物的技术规格应与本招标文件技术规范相一致。若技术规格中无相应规定，则所供货物应符合相应的国际标准或中华人民共和国有关部门最新颁布的相应的正式标准。</w:t>
      </w:r>
    </w:p>
    <w:p>
      <w:pPr>
        <w:pStyle w:val="17"/>
        <w:snapToGrid w:val="0"/>
        <w:spacing w:line="360" w:lineRule="auto"/>
        <w:jc w:val="left"/>
        <w:rPr>
          <w:rFonts w:ascii="宋体" w:hAnsi="宋体" w:cs="宋体"/>
          <w:sz w:val="21"/>
        </w:rPr>
      </w:pPr>
      <w:r>
        <w:rPr>
          <w:rFonts w:hint="eastAsia" w:ascii="宋体" w:hAnsi="宋体" w:cs="宋体"/>
          <w:sz w:val="21"/>
        </w:rPr>
        <w:t>5.2参照合同的规范和标准，并依此执行工程时，是指合同生效之日使用的规范或其标准正本或修正本，若国家有新的规范和标准应从其规定。</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6  图纸</w:t>
      </w:r>
    </w:p>
    <w:p>
      <w:pPr>
        <w:pStyle w:val="17"/>
        <w:snapToGrid w:val="0"/>
        <w:spacing w:line="360" w:lineRule="auto"/>
        <w:jc w:val="left"/>
        <w:rPr>
          <w:rFonts w:ascii="宋体" w:hAnsi="宋体" w:cs="宋体"/>
          <w:sz w:val="21"/>
        </w:rPr>
      </w:pPr>
      <w:r>
        <w:rPr>
          <w:rFonts w:hint="eastAsia" w:ascii="宋体" w:hAnsi="宋体" w:cs="宋体"/>
          <w:sz w:val="21"/>
        </w:rPr>
        <w:t>6.1  在签订合同协议书后，买方向卖方免费提供由买方或其委托的设计单位设计的设计文件或其他技术资料，并及时向卖方进行技术交底。卖方需要更多份数时，应自费复制。上述图纸和其他技术资料，未经买方和监理工程师同意卖方不得提供给与本工程施工无关的第三方。质量保证期结束后，卖方除存档外，应将全部图纸资料归还买方。</w:t>
      </w:r>
    </w:p>
    <w:p>
      <w:pPr>
        <w:pStyle w:val="17"/>
        <w:snapToGrid w:val="0"/>
        <w:spacing w:line="360" w:lineRule="auto"/>
        <w:jc w:val="left"/>
        <w:rPr>
          <w:rFonts w:ascii="宋体" w:hAnsi="宋体" w:cs="宋体"/>
          <w:sz w:val="21"/>
        </w:rPr>
      </w:pPr>
      <w:r>
        <w:rPr>
          <w:rFonts w:hint="eastAsia" w:ascii="宋体" w:hAnsi="宋体" w:cs="宋体"/>
          <w:sz w:val="21"/>
        </w:rPr>
        <w:t>6.2分包人的图纸和资料由卖方提供。</w:t>
      </w:r>
    </w:p>
    <w:p>
      <w:pPr>
        <w:pStyle w:val="6"/>
        <w:spacing w:before="240"/>
        <w:rPr>
          <w:rFonts w:cs="宋体"/>
          <w:sz w:val="24"/>
          <w:szCs w:val="24"/>
        </w:rPr>
      </w:pPr>
      <w:r>
        <w:rPr>
          <w:rFonts w:hint="eastAsia" w:cs="宋体"/>
          <w:sz w:val="24"/>
          <w:szCs w:val="24"/>
        </w:rPr>
        <w:t>二  权利和义务</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7  监理工程师</w:t>
      </w:r>
    </w:p>
    <w:p>
      <w:pPr>
        <w:pStyle w:val="17"/>
        <w:snapToGrid w:val="0"/>
        <w:spacing w:line="360" w:lineRule="auto"/>
        <w:jc w:val="left"/>
        <w:rPr>
          <w:rFonts w:ascii="宋体" w:hAnsi="宋体" w:cs="宋体"/>
          <w:sz w:val="21"/>
        </w:rPr>
      </w:pPr>
      <w:r>
        <w:rPr>
          <w:rFonts w:hint="eastAsia" w:ascii="宋体" w:hAnsi="宋体" w:cs="宋体"/>
          <w:sz w:val="21"/>
        </w:rPr>
        <w:t>7.1监理工程师是买方为本合同工程委托或指定的承担本合同工程监理工作的单位或个人，其职责由监理合同规定，并已得到买方的授权。</w:t>
      </w:r>
    </w:p>
    <w:p>
      <w:pPr>
        <w:pStyle w:val="17"/>
        <w:snapToGrid w:val="0"/>
        <w:spacing w:line="360" w:lineRule="auto"/>
        <w:jc w:val="left"/>
        <w:rPr>
          <w:rFonts w:ascii="宋体" w:hAnsi="宋体" w:cs="宋体"/>
          <w:sz w:val="21"/>
        </w:rPr>
      </w:pPr>
      <w:r>
        <w:rPr>
          <w:rFonts w:hint="eastAsia" w:ascii="宋体" w:hAnsi="宋体" w:cs="宋体"/>
          <w:sz w:val="21"/>
        </w:rPr>
        <w:t>7.2监理工程师发出的指令应是书面的，由于某种原因，监理工程师可以发出口头指令，卖方必须执行，但事后监理工程师应以书面形式确认上述口头指令。</w:t>
      </w:r>
    </w:p>
    <w:p>
      <w:pPr>
        <w:pStyle w:val="17"/>
        <w:snapToGrid w:val="0"/>
        <w:spacing w:line="360" w:lineRule="auto"/>
        <w:jc w:val="left"/>
        <w:rPr>
          <w:rFonts w:ascii="宋体" w:hAnsi="宋体" w:cs="宋体"/>
          <w:sz w:val="21"/>
        </w:rPr>
      </w:pPr>
      <w:r>
        <w:rPr>
          <w:rFonts w:hint="eastAsia" w:ascii="宋体" w:hAnsi="宋体" w:cs="宋体"/>
          <w:sz w:val="21"/>
        </w:rPr>
        <w:t>7.3监理工程师在按本合同要求作出决定，同意或批准，或确定价值(作价)或处理涉及买方和卖方的权利和义务的事项时，应该根据合同条款的规定，实事求是和公正地作出判断并经受检查。如发现有不当之处，应进行修正。</w:t>
      </w:r>
    </w:p>
    <w:p>
      <w:pPr>
        <w:pStyle w:val="17"/>
        <w:snapToGrid w:val="0"/>
        <w:spacing w:line="360" w:lineRule="auto"/>
        <w:jc w:val="left"/>
        <w:rPr>
          <w:rFonts w:ascii="宋体" w:hAnsi="宋体" w:cs="宋体"/>
          <w:sz w:val="21"/>
        </w:rPr>
      </w:pPr>
      <w:r>
        <w:rPr>
          <w:rFonts w:hint="eastAsia" w:ascii="宋体" w:hAnsi="宋体" w:cs="宋体"/>
          <w:sz w:val="21"/>
        </w:rPr>
        <w:t>7.4监理工程师的决定、同意或批准，在任何情况下都不能解除卖方根据合同规定应负的责任。</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8  卖方的责任和义务</w:t>
      </w:r>
    </w:p>
    <w:p>
      <w:pPr>
        <w:pStyle w:val="17"/>
        <w:snapToGrid w:val="0"/>
        <w:spacing w:line="360" w:lineRule="auto"/>
        <w:jc w:val="left"/>
        <w:rPr>
          <w:rFonts w:ascii="宋体" w:hAnsi="宋体" w:cs="宋体"/>
          <w:sz w:val="21"/>
        </w:rPr>
      </w:pPr>
      <w:r>
        <w:rPr>
          <w:rFonts w:hint="eastAsia" w:ascii="宋体" w:hAnsi="宋体" w:cs="宋体"/>
          <w:sz w:val="21"/>
        </w:rPr>
        <w:t>除非合同中另有明确规定外，卖方在合同实施过程中应负下列责任与义务：</w:t>
      </w:r>
    </w:p>
    <w:p>
      <w:pPr>
        <w:pStyle w:val="17"/>
        <w:snapToGrid w:val="0"/>
        <w:spacing w:line="360" w:lineRule="auto"/>
        <w:jc w:val="left"/>
        <w:rPr>
          <w:rFonts w:ascii="宋体" w:hAnsi="宋体" w:cs="宋体"/>
          <w:sz w:val="21"/>
        </w:rPr>
      </w:pPr>
      <w:r>
        <w:rPr>
          <w:rFonts w:hint="eastAsia" w:ascii="宋体" w:hAnsi="宋体" w:cs="宋体"/>
          <w:sz w:val="21"/>
        </w:rPr>
        <w:t>8.1卖方应认可其在货物报价单中所报的单价的正确性和完备性。除合同另有规定外，上述货物单价应包括合同规定的全部责任以及合同明示或暗示的所有义务和一般风险。</w:t>
      </w:r>
    </w:p>
    <w:p>
      <w:pPr>
        <w:pStyle w:val="17"/>
        <w:snapToGrid w:val="0"/>
        <w:spacing w:line="360" w:lineRule="auto"/>
        <w:jc w:val="left"/>
        <w:rPr>
          <w:rFonts w:ascii="宋体" w:hAnsi="宋体" w:cs="宋体"/>
          <w:sz w:val="21"/>
        </w:rPr>
      </w:pPr>
      <w:r>
        <w:rPr>
          <w:rFonts w:hint="eastAsia" w:ascii="宋体" w:hAnsi="宋体" w:cs="宋体"/>
          <w:sz w:val="21"/>
        </w:rPr>
        <w:t>8.2卖方应对产品质量负责，卖方应建立专门服务于实施本工程的质量自检监督机构和试验设施条件，并合理配备专职质量检测、检查人员，质检人员须持证上岗，自费购置相应配套的检测、试验仪器和设备，健全、完善和规范质量内部自检、自查、自验程序和制度，形成完备的质量保证体系。</w:t>
      </w:r>
    </w:p>
    <w:p>
      <w:pPr>
        <w:pStyle w:val="17"/>
        <w:snapToGrid w:val="0"/>
        <w:spacing w:line="360" w:lineRule="auto"/>
        <w:jc w:val="left"/>
        <w:rPr>
          <w:rFonts w:ascii="宋体" w:hAnsi="宋体" w:cs="宋体"/>
          <w:sz w:val="21"/>
        </w:rPr>
      </w:pPr>
      <w:r>
        <w:rPr>
          <w:rFonts w:hint="eastAsia" w:ascii="宋体" w:hAnsi="宋体" w:cs="宋体"/>
          <w:sz w:val="21"/>
        </w:rPr>
        <w:t>8.3按照买方提供的供货计划、品种、规格、数量、质量、到货时间、交货地点和收货单位，保证货物的及时到位。</w:t>
      </w:r>
    </w:p>
    <w:p>
      <w:pPr>
        <w:pStyle w:val="17"/>
        <w:snapToGrid w:val="0"/>
        <w:spacing w:line="360" w:lineRule="auto"/>
        <w:jc w:val="left"/>
        <w:rPr>
          <w:rFonts w:ascii="宋体" w:hAnsi="宋体" w:cs="宋体"/>
          <w:sz w:val="21"/>
        </w:rPr>
      </w:pPr>
      <w:r>
        <w:rPr>
          <w:rFonts w:hint="eastAsia" w:ascii="宋体" w:hAnsi="宋体" w:cs="宋体"/>
          <w:sz w:val="21"/>
        </w:rPr>
        <w:t>8.4按照合同条款与买方办理货物的所有权交接手续。</w:t>
      </w:r>
    </w:p>
    <w:p>
      <w:pPr>
        <w:pStyle w:val="17"/>
        <w:snapToGrid w:val="0"/>
        <w:spacing w:line="360" w:lineRule="auto"/>
        <w:jc w:val="left"/>
        <w:rPr>
          <w:rFonts w:ascii="宋体" w:hAnsi="宋体" w:cs="宋体"/>
          <w:sz w:val="21"/>
        </w:rPr>
      </w:pPr>
      <w:r>
        <w:rPr>
          <w:rFonts w:hint="eastAsia" w:ascii="宋体" w:hAnsi="宋体" w:cs="宋体"/>
          <w:sz w:val="21"/>
        </w:rPr>
        <w:t>8.5在明确违约责任后，接到书面通知7天内支付违约金。</w:t>
      </w:r>
    </w:p>
    <w:p>
      <w:pPr>
        <w:pStyle w:val="17"/>
        <w:snapToGrid w:val="0"/>
        <w:spacing w:line="360" w:lineRule="auto"/>
        <w:jc w:val="left"/>
        <w:rPr>
          <w:rFonts w:ascii="宋体" w:hAnsi="宋体" w:cs="宋体"/>
          <w:sz w:val="21"/>
        </w:rPr>
      </w:pPr>
      <w:r>
        <w:rPr>
          <w:rFonts w:hint="eastAsia" w:ascii="宋体" w:hAnsi="宋体" w:cs="宋体"/>
          <w:sz w:val="21"/>
        </w:rPr>
        <w:t>8.6参加买方组织的生产调度会。卖方在接到买方的通知后，务必派出代表参加买方组织的生产调度会，对调度会提出的物资供应方面的要求尽快全面贯彻落实，并有对所供货物实施调度的责任。</w:t>
      </w:r>
    </w:p>
    <w:p>
      <w:pPr>
        <w:pStyle w:val="17"/>
        <w:snapToGrid w:val="0"/>
        <w:spacing w:line="360" w:lineRule="auto"/>
        <w:jc w:val="left"/>
        <w:rPr>
          <w:rFonts w:ascii="宋体" w:hAnsi="宋体" w:cs="宋体"/>
          <w:sz w:val="21"/>
        </w:rPr>
      </w:pPr>
      <w:r>
        <w:rPr>
          <w:rFonts w:hint="eastAsia" w:ascii="宋体" w:hAnsi="宋体" w:cs="宋体"/>
          <w:sz w:val="21"/>
        </w:rPr>
        <w:t>8.7卖方应负责办理为执行本合同而投入的机具设备和运输工具的财产保险、人身险、货物运输险以及第三者责任的保险，其费用由卖方负责。</w:t>
      </w:r>
    </w:p>
    <w:p>
      <w:pPr>
        <w:pStyle w:val="17"/>
        <w:snapToGrid w:val="0"/>
        <w:spacing w:line="360" w:lineRule="auto"/>
        <w:jc w:val="left"/>
        <w:rPr>
          <w:rFonts w:ascii="宋体" w:hAnsi="宋体" w:cs="宋体"/>
          <w:sz w:val="21"/>
        </w:rPr>
      </w:pPr>
      <w:r>
        <w:rPr>
          <w:rFonts w:hint="eastAsia" w:ascii="宋体" w:hAnsi="宋体" w:cs="宋体"/>
          <w:sz w:val="21"/>
        </w:rPr>
        <w:t>8.8按照合同规定，处理卖方所供货物的质量和数量争议，并承担相应的费用，但由于买方责任引起的费用除外。</w:t>
      </w:r>
    </w:p>
    <w:p>
      <w:pPr>
        <w:pStyle w:val="17"/>
        <w:snapToGrid w:val="0"/>
        <w:spacing w:line="360" w:lineRule="auto"/>
        <w:jc w:val="left"/>
        <w:rPr>
          <w:rFonts w:ascii="宋体" w:hAnsi="宋体" w:cs="宋体"/>
          <w:sz w:val="21"/>
        </w:rPr>
      </w:pPr>
      <w:r>
        <w:rPr>
          <w:rFonts w:hint="eastAsia" w:ascii="宋体" w:hAnsi="宋体" w:cs="宋体"/>
          <w:sz w:val="21"/>
        </w:rPr>
        <w:t>8.9除买方事先同意外，卖方不得部分转让或全部转让其应履行的合同义务。</w:t>
      </w:r>
    </w:p>
    <w:p>
      <w:pPr>
        <w:pStyle w:val="17"/>
        <w:snapToGrid w:val="0"/>
        <w:spacing w:line="360" w:lineRule="auto"/>
        <w:jc w:val="left"/>
        <w:rPr>
          <w:rFonts w:ascii="宋体" w:hAnsi="宋体" w:cs="宋体"/>
          <w:sz w:val="21"/>
        </w:rPr>
      </w:pPr>
      <w:r>
        <w:rPr>
          <w:rFonts w:hint="eastAsia" w:ascii="宋体" w:hAnsi="宋体" w:cs="宋体"/>
          <w:sz w:val="21"/>
        </w:rPr>
        <w:t>8.10卖方应书面通知买方在本合同中所分包的全部分包合同，但并不能解除卖方履行其分包合同部分的责任和义务。</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9  买方的责任和义务</w:t>
      </w:r>
    </w:p>
    <w:p>
      <w:pPr>
        <w:pStyle w:val="17"/>
        <w:snapToGrid w:val="0"/>
        <w:spacing w:line="360" w:lineRule="auto"/>
        <w:jc w:val="left"/>
        <w:rPr>
          <w:rFonts w:ascii="宋体" w:hAnsi="宋体" w:cs="宋体"/>
          <w:sz w:val="21"/>
        </w:rPr>
      </w:pPr>
      <w:r>
        <w:rPr>
          <w:rFonts w:hint="eastAsia" w:ascii="宋体" w:hAnsi="宋体" w:cs="宋体"/>
          <w:sz w:val="21"/>
        </w:rPr>
        <w:t>除合同中另有明确规定外，买方在合同实施过程中应负下列一般责任和义务：</w:t>
      </w:r>
    </w:p>
    <w:p>
      <w:pPr>
        <w:pStyle w:val="17"/>
        <w:snapToGrid w:val="0"/>
        <w:spacing w:line="360" w:lineRule="auto"/>
        <w:jc w:val="left"/>
        <w:rPr>
          <w:rFonts w:ascii="宋体" w:hAnsi="宋体" w:cs="宋体"/>
          <w:sz w:val="21"/>
        </w:rPr>
      </w:pPr>
      <w:r>
        <w:rPr>
          <w:rFonts w:hint="eastAsia" w:ascii="宋体" w:hAnsi="宋体" w:cs="宋体"/>
          <w:sz w:val="21"/>
        </w:rPr>
        <w:t>9.1买方按合同规定提供场地和卸车条件；</w:t>
      </w:r>
    </w:p>
    <w:p>
      <w:pPr>
        <w:pStyle w:val="17"/>
        <w:snapToGrid w:val="0"/>
        <w:spacing w:line="360" w:lineRule="auto"/>
        <w:jc w:val="left"/>
        <w:rPr>
          <w:rFonts w:ascii="宋体" w:hAnsi="宋体" w:cs="宋体"/>
          <w:sz w:val="21"/>
        </w:rPr>
      </w:pPr>
      <w:r>
        <w:rPr>
          <w:rFonts w:hint="eastAsia" w:ascii="宋体" w:hAnsi="宋体" w:cs="宋体"/>
          <w:sz w:val="21"/>
        </w:rPr>
        <w:t>9.2按时提供供货计划、应急调峰计划和月调整计划；</w:t>
      </w:r>
    </w:p>
    <w:p>
      <w:pPr>
        <w:pStyle w:val="17"/>
        <w:snapToGrid w:val="0"/>
        <w:spacing w:line="360" w:lineRule="auto"/>
        <w:jc w:val="left"/>
        <w:rPr>
          <w:rFonts w:ascii="宋体" w:hAnsi="宋体" w:cs="宋体"/>
          <w:sz w:val="21"/>
        </w:rPr>
      </w:pPr>
      <w:r>
        <w:rPr>
          <w:rFonts w:hint="eastAsia" w:ascii="宋体" w:hAnsi="宋体" w:cs="宋体"/>
          <w:sz w:val="21"/>
        </w:rPr>
        <w:t>9.3负责组织货物的验收和工地现场抽检，并向卖方出具质量验收证书；</w:t>
      </w:r>
    </w:p>
    <w:p>
      <w:pPr>
        <w:pStyle w:val="17"/>
        <w:snapToGrid w:val="0"/>
        <w:spacing w:line="360" w:lineRule="auto"/>
        <w:jc w:val="left"/>
        <w:rPr>
          <w:rFonts w:ascii="宋体" w:hAnsi="宋体" w:cs="宋体"/>
          <w:sz w:val="21"/>
        </w:rPr>
      </w:pPr>
      <w:r>
        <w:rPr>
          <w:rFonts w:hint="eastAsia" w:ascii="宋体" w:hAnsi="宋体" w:cs="宋体"/>
          <w:sz w:val="21"/>
        </w:rPr>
        <w:t>9.4负责与卖方办理货物的所有权交接手续；</w:t>
      </w:r>
    </w:p>
    <w:p>
      <w:pPr>
        <w:pStyle w:val="17"/>
        <w:snapToGrid w:val="0"/>
        <w:spacing w:line="360" w:lineRule="auto"/>
        <w:jc w:val="left"/>
        <w:rPr>
          <w:rFonts w:ascii="宋体" w:hAnsi="宋体" w:cs="宋体"/>
          <w:sz w:val="21"/>
        </w:rPr>
      </w:pPr>
      <w:r>
        <w:rPr>
          <w:rFonts w:hint="eastAsia" w:ascii="宋体" w:hAnsi="宋体" w:cs="宋体"/>
          <w:sz w:val="21"/>
        </w:rPr>
        <w:t>9.5在明确违约责任后，接到书面通知7天内支付违约金；</w:t>
      </w:r>
    </w:p>
    <w:p>
      <w:pPr>
        <w:pStyle w:val="17"/>
        <w:snapToGrid w:val="0"/>
        <w:spacing w:line="360" w:lineRule="auto"/>
        <w:jc w:val="left"/>
        <w:rPr>
          <w:rFonts w:ascii="宋体" w:hAnsi="宋体" w:cs="宋体"/>
          <w:sz w:val="21"/>
        </w:rPr>
      </w:pPr>
      <w:r>
        <w:rPr>
          <w:rFonts w:hint="eastAsia" w:ascii="宋体" w:hAnsi="宋体" w:cs="宋体"/>
          <w:sz w:val="21"/>
        </w:rPr>
        <w:t>9.6负责向项目现场派遣监理工程师或买方代表；</w:t>
      </w:r>
    </w:p>
    <w:p>
      <w:pPr>
        <w:pStyle w:val="17"/>
        <w:snapToGrid w:val="0"/>
        <w:spacing w:line="360" w:lineRule="auto"/>
        <w:jc w:val="left"/>
        <w:rPr>
          <w:rFonts w:ascii="宋体" w:hAnsi="宋体" w:cs="宋体"/>
          <w:sz w:val="21"/>
        </w:rPr>
      </w:pPr>
      <w:r>
        <w:rPr>
          <w:rFonts w:hint="eastAsia" w:ascii="宋体" w:hAnsi="宋体" w:cs="宋体"/>
          <w:sz w:val="21"/>
        </w:rPr>
        <w:t>9.7买方应根据质量验收合格证书中标明的数量和本合同条款第20条向卖方支付货款。</w:t>
      </w:r>
    </w:p>
    <w:p>
      <w:pPr>
        <w:pStyle w:val="6"/>
        <w:spacing w:before="240"/>
        <w:rPr>
          <w:rFonts w:cs="宋体"/>
          <w:sz w:val="24"/>
          <w:szCs w:val="24"/>
        </w:rPr>
      </w:pPr>
      <w:r>
        <w:rPr>
          <w:rFonts w:hint="eastAsia" w:cs="宋体"/>
          <w:sz w:val="24"/>
          <w:szCs w:val="24"/>
        </w:rPr>
        <w:t>三  合同的实施</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10  履约保证金</w:t>
      </w:r>
    </w:p>
    <w:p>
      <w:pPr>
        <w:pStyle w:val="17"/>
        <w:snapToGrid w:val="0"/>
        <w:spacing w:line="360" w:lineRule="auto"/>
        <w:jc w:val="left"/>
        <w:rPr>
          <w:rFonts w:ascii="宋体" w:hAnsi="宋体" w:cs="宋体"/>
          <w:sz w:val="21"/>
        </w:rPr>
      </w:pPr>
      <w:r>
        <w:rPr>
          <w:rFonts w:hint="eastAsia" w:ascii="宋体" w:hAnsi="宋体" w:cs="宋体"/>
          <w:sz w:val="21"/>
        </w:rPr>
        <w:t>10.1卖方应按合同专用条款资料表的规定向买方提供履约保证金。</w:t>
      </w:r>
    </w:p>
    <w:p>
      <w:pPr>
        <w:pStyle w:val="17"/>
        <w:snapToGrid w:val="0"/>
        <w:spacing w:line="360" w:lineRule="auto"/>
        <w:jc w:val="left"/>
        <w:rPr>
          <w:rFonts w:ascii="宋体" w:hAnsi="宋体" w:cs="宋体"/>
          <w:sz w:val="21"/>
        </w:rPr>
      </w:pPr>
      <w:r>
        <w:rPr>
          <w:rFonts w:hint="eastAsia" w:ascii="宋体" w:hAnsi="宋体" w:cs="宋体"/>
          <w:sz w:val="21"/>
        </w:rPr>
        <w:t>10.2卖方的履约保证金应按“投标书格式”中提供的银行履约保函格式或买方可接受的其他格式提供，与此有关的费用由卖方承担。</w:t>
      </w:r>
    </w:p>
    <w:p>
      <w:pPr>
        <w:pStyle w:val="17"/>
        <w:snapToGrid w:val="0"/>
        <w:spacing w:line="360" w:lineRule="auto"/>
        <w:jc w:val="left"/>
        <w:rPr>
          <w:rFonts w:ascii="宋体" w:hAnsi="宋体" w:cs="宋体"/>
          <w:sz w:val="21"/>
        </w:rPr>
      </w:pPr>
      <w:r>
        <w:rPr>
          <w:rFonts w:hint="eastAsia" w:ascii="宋体" w:hAnsi="宋体" w:cs="宋体"/>
          <w:sz w:val="21"/>
        </w:rPr>
        <w:t>10.3如果卖方未能按合同规定履行其义务，买方有权从履约保证金取得补偿。</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1l  技术资料</w:t>
      </w:r>
    </w:p>
    <w:p>
      <w:pPr>
        <w:pStyle w:val="17"/>
        <w:snapToGrid w:val="0"/>
        <w:spacing w:line="360" w:lineRule="auto"/>
        <w:jc w:val="left"/>
        <w:rPr>
          <w:rFonts w:ascii="宋体" w:hAnsi="宋体" w:cs="宋体"/>
          <w:sz w:val="21"/>
        </w:rPr>
      </w:pPr>
      <w:r>
        <w:rPr>
          <w:rFonts w:hint="eastAsia" w:ascii="宋体" w:hAnsi="宋体" w:cs="宋体"/>
          <w:sz w:val="21"/>
        </w:rPr>
        <w:t>11.1合同生效后14天内，卖方应将所提供货物的技术资料(如样本、安装工艺图、出厂前检验记录等)免费提供给买方。另外一套完整的上述资料应在交货时提供。</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12  包装</w:t>
      </w:r>
    </w:p>
    <w:p>
      <w:pPr>
        <w:pStyle w:val="17"/>
        <w:snapToGrid w:val="0"/>
        <w:spacing w:line="360" w:lineRule="auto"/>
        <w:jc w:val="left"/>
        <w:rPr>
          <w:rFonts w:ascii="宋体" w:hAnsi="宋体" w:cs="宋体"/>
          <w:sz w:val="21"/>
        </w:rPr>
      </w:pPr>
      <w:r>
        <w:rPr>
          <w:rFonts w:hint="eastAsia" w:ascii="宋体" w:hAnsi="宋体" w:cs="宋体"/>
          <w:sz w:val="21"/>
        </w:rPr>
        <w:t>12.1货物应按国家标准或部(专业)标准规定进行包装。本合同项下的货物包装形式详见合同专用条款资料表中载明。由于包装不善引起的货物锈蚀、损坏和损失均由卖方承担。</w:t>
      </w:r>
    </w:p>
    <w:p>
      <w:pPr>
        <w:pStyle w:val="17"/>
        <w:snapToGrid w:val="0"/>
        <w:spacing w:line="360" w:lineRule="auto"/>
        <w:jc w:val="left"/>
        <w:rPr>
          <w:rFonts w:ascii="宋体" w:hAnsi="宋体" w:cs="宋体"/>
          <w:sz w:val="21"/>
        </w:rPr>
      </w:pPr>
      <w:r>
        <w:rPr>
          <w:rFonts w:hint="eastAsia" w:ascii="宋体" w:hAnsi="宋体" w:cs="宋体"/>
          <w:sz w:val="21"/>
        </w:rPr>
        <w:t>12.2每件包装箱内应附一份详细装箱单和质量合格证。</w:t>
      </w:r>
    </w:p>
    <w:p>
      <w:pPr>
        <w:pStyle w:val="17"/>
        <w:snapToGrid w:val="0"/>
        <w:spacing w:line="360" w:lineRule="auto"/>
        <w:jc w:val="left"/>
        <w:rPr>
          <w:rFonts w:ascii="宋体" w:hAnsi="宋体" w:cs="宋体"/>
          <w:sz w:val="21"/>
        </w:rPr>
      </w:pPr>
      <w:r>
        <w:rPr>
          <w:rFonts w:hint="eastAsia" w:ascii="宋体" w:hAnsi="宋体" w:cs="宋体"/>
          <w:sz w:val="21"/>
        </w:rPr>
        <w:t>12.3包装箱应有明显的包装编号和起吊部位标志，组装件应有明显的组对标志。</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13  装运与交货</w:t>
      </w:r>
    </w:p>
    <w:p>
      <w:pPr>
        <w:pStyle w:val="17"/>
        <w:snapToGrid w:val="0"/>
        <w:spacing w:line="360" w:lineRule="auto"/>
        <w:jc w:val="left"/>
        <w:rPr>
          <w:rFonts w:ascii="宋体" w:hAnsi="宋体" w:cs="宋体"/>
          <w:sz w:val="21"/>
        </w:rPr>
      </w:pPr>
      <w:r>
        <w:rPr>
          <w:rFonts w:hint="eastAsia" w:ascii="宋体" w:hAnsi="宋体" w:cs="宋体"/>
          <w:sz w:val="21"/>
        </w:rPr>
        <w:t>13.1卖方负责办理货物运输的一切手续和费用。</w:t>
      </w:r>
    </w:p>
    <w:p>
      <w:pPr>
        <w:pStyle w:val="17"/>
        <w:snapToGrid w:val="0"/>
        <w:spacing w:line="360" w:lineRule="auto"/>
        <w:jc w:val="left"/>
        <w:rPr>
          <w:rFonts w:ascii="宋体" w:hAnsi="宋体" w:cs="宋体"/>
          <w:sz w:val="21"/>
        </w:rPr>
      </w:pPr>
      <w:r>
        <w:rPr>
          <w:rFonts w:hint="eastAsia" w:ascii="宋体" w:hAnsi="宋体" w:cs="宋体"/>
          <w:sz w:val="21"/>
        </w:rPr>
        <w:t>13.2卖方装运的货物必须符合合同规定的货物名称、型号规格、数量或重量，否则，一切后果均由卖方承担。</w:t>
      </w:r>
    </w:p>
    <w:p>
      <w:pPr>
        <w:pStyle w:val="17"/>
        <w:snapToGrid w:val="0"/>
        <w:spacing w:line="360" w:lineRule="auto"/>
        <w:jc w:val="left"/>
        <w:rPr>
          <w:rFonts w:ascii="宋体" w:hAnsi="宋体" w:cs="宋体"/>
          <w:sz w:val="21"/>
        </w:rPr>
      </w:pPr>
      <w:r>
        <w:rPr>
          <w:rFonts w:hint="eastAsia" w:ascii="宋体" w:hAnsi="宋体" w:cs="宋体"/>
          <w:sz w:val="21"/>
        </w:rPr>
        <w:t>13.3买方有权在原计划发运日期的3～7天前以书面通知要求卖方推迟发运时间。卖方须按买方通知重新安排发运，其程序及手续按正常发运办理。因买方不足于原计划发运前3天推迟发运的请求而产生的全部和任何直接损失和费用应由买方负担，有关时间表将作相应调整。</w:t>
      </w:r>
    </w:p>
    <w:p>
      <w:pPr>
        <w:pStyle w:val="17"/>
        <w:snapToGrid w:val="0"/>
        <w:spacing w:line="360" w:lineRule="auto"/>
        <w:jc w:val="left"/>
        <w:rPr>
          <w:rFonts w:ascii="宋体" w:hAnsi="宋体" w:cs="宋体"/>
          <w:sz w:val="21"/>
        </w:rPr>
      </w:pPr>
      <w:r>
        <w:rPr>
          <w:rFonts w:hint="eastAsia" w:ascii="宋体" w:hAnsi="宋体" w:cs="宋体"/>
          <w:sz w:val="21"/>
        </w:rPr>
        <w:t>13.4卖方应将货物运至本合同专用条款资料表中规定的交货地点，并负责办理货物运至前述交货地点全过程中的所有事项，包括但不限于中转、储存和装卸。有关费用已包括在合同价中。</w:t>
      </w:r>
    </w:p>
    <w:p>
      <w:pPr>
        <w:pStyle w:val="17"/>
        <w:snapToGrid w:val="0"/>
        <w:spacing w:line="360" w:lineRule="auto"/>
        <w:jc w:val="left"/>
        <w:rPr>
          <w:rFonts w:ascii="宋体" w:hAnsi="宋体" w:cs="宋体"/>
          <w:sz w:val="21"/>
        </w:rPr>
      </w:pPr>
      <w:r>
        <w:rPr>
          <w:rFonts w:hint="eastAsia" w:ascii="宋体" w:hAnsi="宋体" w:cs="宋体"/>
          <w:sz w:val="21"/>
        </w:rPr>
        <w:t>13.5卖方应按照“货物需求一览表”规定的条件交货。卖方应提供装运细节和／或有关单据。</w:t>
      </w:r>
    </w:p>
    <w:p>
      <w:pPr>
        <w:pStyle w:val="17"/>
        <w:snapToGrid w:val="0"/>
        <w:spacing w:line="360" w:lineRule="auto"/>
        <w:jc w:val="left"/>
        <w:rPr>
          <w:rFonts w:ascii="宋体" w:hAnsi="宋体" w:cs="宋体"/>
          <w:sz w:val="21"/>
        </w:rPr>
      </w:pPr>
      <w:r>
        <w:rPr>
          <w:rFonts w:hint="eastAsia" w:ascii="宋体" w:hAnsi="宋体" w:cs="宋体"/>
          <w:sz w:val="21"/>
        </w:rPr>
        <w:t>13.6合同交货期应以招标文件中的交货期为准，实际交货时间，以最后一批货物到达指定到货地点为准。</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14  检验和测试</w:t>
      </w:r>
    </w:p>
    <w:p>
      <w:pPr>
        <w:pStyle w:val="17"/>
        <w:snapToGrid w:val="0"/>
        <w:spacing w:line="360" w:lineRule="auto"/>
        <w:jc w:val="left"/>
        <w:rPr>
          <w:rFonts w:ascii="宋体" w:hAnsi="宋体" w:cs="宋体"/>
          <w:sz w:val="21"/>
        </w:rPr>
      </w:pPr>
      <w:r>
        <w:rPr>
          <w:rFonts w:hint="eastAsia" w:ascii="宋体" w:hAnsi="宋体" w:cs="宋体"/>
          <w:sz w:val="21"/>
        </w:rPr>
        <w:t>14.1在交货前，卖方应对货物的质量、规格、性能、数量和重量等进行详细而全面的检验和／或测试，并出具一份证明货物符合规定的检验证书和／或测试报告，检验证书和／或测试报告是付款时所需要的文件的组成部分，但不能作为有关质量、规格、性能、数量和重量的最终检验。卖方应将检验和／或测试的结果和细节附在检验证书和／或测试报告后面。</w:t>
      </w:r>
    </w:p>
    <w:p>
      <w:pPr>
        <w:pStyle w:val="17"/>
        <w:snapToGrid w:val="0"/>
        <w:spacing w:line="360" w:lineRule="auto"/>
        <w:jc w:val="left"/>
        <w:rPr>
          <w:rFonts w:ascii="宋体" w:hAnsi="宋体" w:cs="宋体"/>
          <w:sz w:val="21"/>
        </w:rPr>
      </w:pPr>
      <w:r>
        <w:rPr>
          <w:rFonts w:hint="eastAsia" w:ascii="宋体" w:hAnsi="宋体" w:cs="宋体"/>
          <w:sz w:val="21"/>
        </w:rPr>
        <w:t>14.2买方和监理工程师有权出席上述测试和检验，无论卖方什么时候进行测试和／或检验，卖方应提前48小时给监理工程师一份测试和／或检验的内容、地点和时间的通知，卖方应获得有关第三方或制造商的许可或同意，使买方和监理工程师能够出席测试和／或检验。如果监理工程师和买方表示不能参加上述测试或检验，卖方可以单独进行测试和检验。</w:t>
      </w:r>
    </w:p>
    <w:p>
      <w:pPr>
        <w:pStyle w:val="17"/>
        <w:snapToGrid w:val="0"/>
        <w:spacing w:line="360" w:lineRule="auto"/>
        <w:jc w:val="left"/>
        <w:rPr>
          <w:rFonts w:ascii="宋体" w:hAnsi="宋体" w:cs="宋体"/>
          <w:sz w:val="21"/>
        </w:rPr>
      </w:pPr>
      <w:r>
        <w:rPr>
          <w:rFonts w:hint="eastAsia" w:ascii="宋体" w:hAnsi="宋体" w:cs="宋体"/>
          <w:sz w:val="21"/>
        </w:rPr>
        <w:t>14.3如果监理工程师认为必要，可要求卖方执行合同中没有说明的测试或检查，由此发生的费用应合理地加在合同价格中。</w:t>
      </w:r>
    </w:p>
    <w:p>
      <w:pPr>
        <w:pStyle w:val="17"/>
        <w:snapToGrid w:val="0"/>
        <w:spacing w:line="360" w:lineRule="auto"/>
        <w:jc w:val="left"/>
        <w:rPr>
          <w:rFonts w:ascii="宋体" w:hAnsi="宋体" w:cs="宋体"/>
          <w:sz w:val="21"/>
        </w:rPr>
      </w:pPr>
      <w:r>
        <w:rPr>
          <w:rFonts w:hint="eastAsia" w:ascii="宋体" w:hAnsi="宋体" w:cs="宋体"/>
          <w:sz w:val="21"/>
        </w:rPr>
        <w:t>14.4货物运达到货地点后，买方负责清点接货。如因包装不当或运输部门造成设备质量下降或破损、缺件等，卖方承担质量责任。</w:t>
      </w:r>
    </w:p>
    <w:p>
      <w:pPr>
        <w:pStyle w:val="17"/>
        <w:snapToGrid w:val="0"/>
        <w:spacing w:line="360" w:lineRule="auto"/>
        <w:jc w:val="left"/>
        <w:rPr>
          <w:rFonts w:ascii="宋体" w:hAnsi="宋体" w:cs="宋体"/>
          <w:sz w:val="21"/>
        </w:rPr>
      </w:pPr>
      <w:r>
        <w:rPr>
          <w:rFonts w:hint="eastAsia" w:ascii="宋体" w:hAnsi="宋体" w:cs="宋体"/>
          <w:sz w:val="21"/>
        </w:rPr>
        <w:t>14.5货物到达现场后，卖方应按买方安排的时间派人到现场进行开箱检验。如卖方不能按时到达现场，又无函电通知时，买方有权开箱检验，并对缺件、质量损坏情况做出记录，卖方应认可并负责处理。</w:t>
      </w:r>
    </w:p>
    <w:p>
      <w:pPr>
        <w:pStyle w:val="17"/>
        <w:snapToGrid w:val="0"/>
        <w:spacing w:line="360" w:lineRule="auto"/>
        <w:jc w:val="left"/>
        <w:rPr>
          <w:rFonts w:ascii="宋体" w:hAnsi="宋体" w:cs="宋体"/>
          <w:sz w:val="21"/>
        </w:rPr>
      </w:pPr>
      <w:r>
        <w:rPr>
          <w:rFonts w:hint="eastAsia" w:ascii="宋体" w:hAnsi="宋体" w:cs="宋体"/>
          <w:sz w:val="21"/>
        </w:rPr>
        <w:t>14.6货物运抵现场后，买方将委托测试部门对货物的质量再次进行测试，卖方应积极配合。测试部门出具的测试报告作为付款依据。如材料的质量不能达到技术标准的要求，则买方可以拒绝该批材料，卖方必须在一定期限内将其运出场地，并承担由此造成的一切损失。</w:t>
      </w:r>
    </w:p>
    <w:p>
      <w:pPr>
        <w:pStyle w:val="17"/>
        <w:snapToGrid w:val="0"/>
        <w:spacing w:line="360" w:lineRule="auto"/>
        <w:jc w:val="left"/>
        <w:rPr>
          <w:rFonts w:ascii="宋体" w:hAnsi="宋体" w:cs="宋体"/>
          <w:sz w:val="21"/>
        </w:rPr>
      </w:pPr>
      <w:r>
        <w:rPr>
          <w:rFonts w:hint="eastAsia" w:ascii="宋体" w:hAnsi="宋体" w:cs="宋体"/>
          <w:sz w:val="21"/>
        </w:rPr>
        <w:t>14.7在质量保证期内，如买方发现因本合同中的货物质量原因而使工程受到损害，经检测部门证实后，买方将从保留金中扣回损失，并保留进一步追究卖方责任的权力。</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15 现场服务</w:t>
      </w:r>
    </w:p>
    <w:p>
      <w:pPr>
        <w:pStyle w:val="17"/>
        <w:snapToGrid w:val="0"/>
        <w:spacing w:line="360" w:lineRule="auto"/>
        <w:jc w:val="left"/>
        <w:rPr>
          <w:rFonts w:ascii="宋体" w:hAnsi="宋体" w:cs="宋体"/>
          <w:sz w:val="21"/>
        </w:rPr>
      </w:pPr>
      <w:r>
        <w:rPr>
          <w:rFonts w:hint="eastAsia" w:ascii="宋体" w:hAnsi="宋体" w:cs="宋体"/>
          <w:sz w:val="21"/>
        </w:rPr>
        <w:t>15.1为使合同适时、全面地得到履行，卖方在合同的实施过程中，应授权或委派常驻施工现场的代表，全权处理实施本合同中的所有事务与对外联系，接受并负责执行买方为合同目的签发的任何指示、指令、通知和证书。卖方驻施工现场的代表应基本稳定，若确属特殊情况需调换此代表时，应事先与买方协商并征得买方的同意。如果买方认为卖方驻工地代表或调换的代表其工作能力不能胜任本合同赋予的职责，则买方有权要求卖方作必要的更换。</w:t>
      </w:r>
    </w:p>
    <w:p>
      <w:pPr>
        <w:pStyle w:val="17"/>
        <w:snapToGrid w:val="0"/>
        <w:spacing w:line="360" w:lineRule="auto"/>
        <w:jc w:val="left"/>
        <w:rPr>
          <w:rFonts w:ascii="宋体" w:hAnsi="宋体" w:cs="宋体"/>
          <w:sz w:val="21"/>
        </w:rPr>
      </w:pPr>
      <w:r>
        <w:rPr>
          <w:rFonts w:hint="eastAsia" w:ascii="宋体" w:hAnsi="宋体" w:cs="宋体"/>
          <w:sz w:val="21"/>
        </w:rPr>
        <w:t>15.2现场服务的费用应包括在合同价中。</w:t>
      </w:r>
    </w:p>
    <w:p>
      <w:pPr>
        <w:pStyle w:val="6"/>
        <w:spacing w:before="240"/>
        <w:rPr>
          <w:rFonts w:cs="宋体"/>
          <w:sz w:val="24"/>
          <w:szCs w:val="24"/>
        </w:rPr>
      </w:pPr>
      <w:r>
        <w:rPr>
          <w:rFonts w:hint="eastAsia" w:cs="宋体"/>
          <w:sz w:val="24"/>
          <w:szCs w:val="24"/>
        </w:rPr>
        <w:t>四  质量与责任</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16  质量与责任</w:t>
      </w:r>
    </w:p>
    <w:p>
      <w:pPr>
        <w:pStyle w:val="17"/>
        <w:snapToGrid w:val="0"/>
        <w:spacing w:line="360" w:lineRule="auto"/>
        <w:jc w:val="left"/>
        <w:rPr>
          <w:rFonts w:ascii="宋体" w:hAnsi="宋体" w:cs="宋体"/>
          <w:sz w:val="21"/>
        </w:rPr>
      </w:pPr>
      <w:r>
        <w:rPr>
          <w:rFonts w:hint="eastAsia" w:ascii="宋体" w:hAnsi="宋体" w:cs="宋体"/>
          <w:sz w:val="21"/>
        </w:rPr>
        <w:t>16.1卖方应对货物的设计、制造、交货等建立完整有效的质量保证体系，制定符合ISO9000系列标准要求的质量保证计划，并坚持实施，确保工程质量。卖方对其提供的货物和服务提供品质担保和权利担保，包括但不限于以下第16．2款至16．5款内容。</w:t>
      </w:r>
    </w:p>
    <w:p>
      <w:pPr>
        <w:pStyle w:val="17"/>
        <w:snapToGrid w:val="0"/>
        <w:spacing w:line="360" w:lineRule="auto"/>
        <w:jc w:val="left"/>
        <w:rPr>
          <w:rFonts w:ascii="宋体" w:hAnsi="宋体" w:cs="宋体"/>
          <w:sz w:val="21"/>
        </w:rPr>
      </w:pPr>
      <w:r>
        <w:rPr>
          <w:rFonts w:hint="eastAsia" w:ascii="宋体" w:hAnsi="宋体" w:cs="宋体"/>
          <w:sz w:val="21"/>
        </w:rPr>
        <w:t>16.2卖方应严格按照制造图纸、技术要求和国家、部(专业)有关标准生产和检验，确保产品质</w:t>
      </w:r>
    </w:p>
    <w:p>
      <w:pPr>
        <w:pStyle w:val="17"/>
        <w:snapToGrid w:val="0"/>
        <w:spacing w:line="360" w:lineRule="auto"/>
        <w:jc w:val="left"/>
        <w:rPr>
          <w:rFonts w:ascii="宋体" w:hAnsi="宋体" w:cs="宋体"/>
          <w:sz w:val="21"/>
        </w:rPr>
      </w:pPr>
      <w:r>
        <w:rPr>
          <w:rFonts w:hint="eastAsia" w:ascii="宋体" w:hAnsi="宋体" w:cs="宋体"/>
          <w:sz w:val="21"/>
        </w:rPr>
        <w:t>量。并且完全符合合同规定的质量、规格和性能的要求，并保证产品是全新的、未使用过的。</w:t>
      </w:r>
    </w:p>
    <w:p>
      <w:pPr>
        <w:pStyle w:val="17"/>
        <w:snapToGrid w:val="0"/>
        <w:spacing w:line="360" w:lineRule="auto"/>
        <w:jc w:val="left"/>
        <w:rPr>
          <w:rFonts w:ascii="宋体" w:hAnsi="宋体" w:cs="宋体"/>
          <w:sz w:val="21"/>
        </w:rPr>
      </w:pPr>
      <w:r>
        <w:rPr>
          <w:rFonts w:hint="eastAsia" w:ascii="宋体" w:hAnsi="宋体" w:cs="宋体"/>
          <w:sz w:val="21"/>
        </w:rPr>
        <w:t>16.3对设备(材料)质量应按国家和部(专业)颁布的质量标准或验收规范进行验收。卖方应参加建设单位组织的最终验收工作。</w:t>
      </w:r>
    </w:p>
    <w:p>
      <w:pPr>
        <w:pStyle w:val="17"/>
        <w:snapToGrid w:val="0"/>
        <w:spacing w:line="360" w:lineRule="auto"/>
        <w:jc w:val="left"/>
        <w:rPr>
          <w:rFonts w:ascii="宋体" w:hAnsi="宋体" w:cs="宋体"/>
          <w:sz w:val="21"/>
        </w:rPr>
      </w:pPr>
      <w:r>
        <w:rPr>
          <w:rFonts w:hint="eastAsia" w:ascii="宋体" w:hAnsi="宋体" w:cs="宋体"/>
          <w:sz w:val="21"/>
        </w:rPr>
        <w:t>16.4卖方应保证所提供的货物符合合同规定的寿命要求，对明显不符合寿命要求的部件，卖方应随时更换和承担进一步责任，同时卖方保证在正常的寿命周期内，在正常使用维护条件下，不会因为任何潜在缺陷发生安全事故。若由于所提供的货物的潜在缺陷而导致安全事故，所有因此造成的直接损失和进一步的责任应由卖方承担。</w:t>
      </w:r>
    </w:p>
    <w:p>
      <w:pPr>
        <w:pStyle w:val="17"/>
        <w:snapToGrid w:val="0"/>
        <w:spacing w:line="360" w:lineRule="auto"/>
        <w:jc w:val="left"/>
        <w:rPr>
          <w:rFonts w:ascii="宋体" w:hAnsi="宋体" w:cs="宋体"/>
          <w:sz w:val="21"/>
        </w:rPr>
      </w:pPr>
      <w:r>
        <w:rPr>
          <w:rFonts w:hint="eastAsia" w:ascii="宋体" w:hAnsi="宋体" w:cs="宋体"/>
          <w:sz w:val="21"/>
        </w:rPr>
        <w:t>16.5卖方对其提供的货物及服务承担权利保证与品质保证的义务。</w:t>
      </w:r>
    </w:p>
    <w:p>
      <w:pPr>
        <w:pStyle w:val="6"/>
        <w:spacing w:before="240"/>
        <w:rPr>
          <w:rFonts w:cs="宋体"/>
          <w:sz w:val="24"/>
          <w:szCs w:val="24"/>
        </w:rPr>
      </w:pPr>
      <w:r>
        <w:rPr>
          <w:rFonts w:hint="eastAsia" w:cs="宋体"/>
          <w:sz w:val="24"/>
          <w:szCs w:val="24"/>
        </w:rPr>
        <w:t>五  合同价款与支付</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17  合同价格</w:t>
      </w:r>
    </w:p>
    <w:p>
      <w:pPr>
        <w:pStyle w:val="17"/>
        <w:snapToGrid w:val="0"/>
        <w:spacing w:line="360" w:lineRule="auto"/>
        <w:jc w:val="left"/>
        <w:rPr>
          <w:rFonts w:ascii="宋体" w:hAnsi="宋体" w:cs="宋体"/>
          <w:sz w:val="21"/>
        </w:rPr>
      </w:pPr>
      <w:r>
        <w:rPr>
          <w:rFonts w:hint="eastAsia" w:ascii="宋体" w:hAnsi="宋体" w:cs="宋体"/>
          <w:sz w:val="21"/>
        </w:rPr>
        <w:t>17.1合同价格包括本合同项下货物的制造前准备、制造、提供备件、包装、运输、保险、装卸、仓储保管、向政府机构报检、质量保证期及合同文件所要求的其他配套服务等全过程产生的所有成本和费用以及一切税费。</w:t>
      </w:r>
    </w:p>
    <w:p>
      <w:pPr>
        <w:pStyle w:val="17"/>
        <w:snapToGrid w:val="0"/>
        <w:spacing w:line="360" w:lineRule="auto"/>
        <w:jc w:val="left"/>
        <w:rPr>
          <w:rFonts w:ascii="宋体" w:hAnsi="宋体" w:cs="宋体"/>
          <w:sz w:val="21"/>
        </w:rPr>
      </w:pPr>
      <w:r>
        <w:rPr>
          <w:rFonts w:hint="eastAsia" w:ascii="宋体" w:hAnsi="宋体" w:cs="宋体"/>
          <w:sz w:val="21"/>
        </w:rPr>
        <w:t>17.2应当认为卖方已经彻底查清，并在合同价格中充分考虑到了以下因素：</w:t>
      </w:r>
    </w:p>
    <w:p>
      <w:pPr>
        <w:pStyle w:val="17"/>
        <w:snapToGrid w:val="0"/>
        <w:spacing w:line="360" w:lineRule="auto"/>
        <w:jc w:val="left"/>
        <w:rPr>
          <w:rFonts w:ascii="宋体" w:hAnsi="宋体" w:cs="宋体"/>
          <w:sz w:val="21"/>
        </w:rPr>
      </w:pPr>
      <w:r>
        <w:rPr>
          <w:rFonts w:hint="eastAsia" w:ascii="宋体" w:hAnsi="宋体" w:cs="宋体"/>
          <w:sz w:val="21"/>
        </w:rPr>
        <w:t>(1)影响到合同价的全部条件和情况；</w:t>
      </w:r>
    </w:p>
    <w:p>
      <w:pPr>
        <w:pStyle w:val="17"/>
        <w:snapToGrid w:val="0"/>
        <w:spacing w:line="360" w:lineRule="auto"/>
        <w:jc w:val="left"/>
        <w:rPr>
          <w:rFonts w:ascii="宋体" w:hAnsi="宋体" w:cs="宋体"/>
          <w:sz w:val="21"/>
        </w:rPr>
      </w:pPr>
      <w:r>
        <w:rPr>
          <w:rFonts w:hint="eastAsia" w:ascii="宋体" w:hAnsi="宋体" w:cs="宋体"/>
          <w:sz w:val="21"/>
        </w:rPr>
        <w:t>(2)完成合同所述工程的所有可能性；</w:t>
      </w:r>
    </w:p>
    <w:p>
      <w:pPr>
        <w:pStyle w:val="17"/>
        <w:snapToGrid w:val="0"/>
        <w:spacing w:line="360" w:lineRule="auto"/>
        <w:jc w:val="left"/>
        <w:rPr>
          <w:rFonts w:ascii="宋体" w:hAnsi="宋体" w:cs="宋体"/>
          <w:sz w:val="21"/>
        </w:rPr>
      </w:pPr>
      <w:r>
        <w:rPr>
          <w:rFonts w:hint="eastAsia" w:ascii="宋体" w:hAnsi="宋体" w:cs="宋体"/>
          <w:sz w:val="21"/>
        </w:rPr>
        <w:t>(3)现场的综合情况；</w:t>
      </w:r>
    </w:p>
    <w:p>
      <w:pPr>
        <w:pStyle w:val="17"/>
        <w:snapToGrid w:val="0"/>
        <w:spacing w:line="360" w:lineRule="auto"/>
        <w:jc w:val="left"/>
        <w:rPr>
          <w:rFonts w:ascii="宋体" w:hAnsi="宋体" w:cs="宋体"/>
          <w:sz w:val="21"/>
        </w:rPr>
      </w:pPr>
      <w:r>
        <w:rPr>
          <w:rFonts w:hint="eastAsia" w:ascii="宋体" w:hAnsi="宋体" w:cs="宋体"/>
          <w:sz w:val="21"/>
        </w:rPr>
        <w:t>(4)现场总的劳务情况。</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18  价格调整</w:t>
      </w:r>
    </w:p>
    <w:p>
      <w:pPr>
        <w:pStyle w:val="17"/>
        <w:snapToGrid w:val="0"/>
        <w:spacing w:line="360" w:lineRule="auto"/>
        <w:jc w:val="left"/>
        <w:rPr>
          <w:rFonts w:ascii="宋体" w:hAnsi="宋体" w:cs="宋体"/>
          <w:sz w:val="21"/>
        </w:rPr>
      </w:pPr>
      <w:r>
        <w:rPr>
          <w:rFonts w:hint="eastAsia" w:ascii="宋体" w:hAnsi="宋体" w:cs="宋体"/>
          <w:sz w:val="21"/>
        </w:rPr>
        <w:t>18.1合同价格应按中标人的投标价格(综合单价)执行。合同协议书一经签订，除合同另有规定外，综合单价不受(包括但不限于)物价指数浮动对价格的影响，一概不予调整；当货物数量出现变更，以综合单价乘以货物增(减)数量即为合同价格的增(减)部分。</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19  税和税金</w:t>
      </w:r>
    </w:p>
    <w:p>
      <w:pPr>
        <w:pStyle w:val="17"/>
        <w:snapToGrid w:val="0"/>
        <w:spacing w:line="360" w:lineRule="auto"/>
        <w:jc w:val="left"/>
        <w:rPr>
          <w:rFonts w:ascii="宋体" w:hAnsi="宋体" w:cs="宋体"/>
          <w:sz w:val="21"/>
        </w:rPr>
      </w:pPr>
      <w:r>
        <w:rPr>
          <w:rFonts w:hint="eastAsia" w:ascii="宋体" w:hAnsi="宋体" w:cs="宋体"/>
          <w:sz w:val="21"/>
        </w:rPr>
        <w:t>19.1中国政府根据现行税法对买方征收的与本合同有关的一切税费均应由买方负担。</w:t>
      </w:r>
    </w:p>
    <w:p>
      <w:pPr>
        <w:pStyle w:val="17"/>
        <w:snapToGrid w:val="0"/>
        <w:spacing w:line="360" w:lineRule="auto"/>
        <w:jc w:val="left"/>
        <w:rPr>
          <w:rFonts w:ascii="宋体" w:hAnsi="宋体" w:cs="宋体"/>
          <w:sz w:val="21"/>
        </w:rPr>
      </w:pPr>
      <w:r>
        <w:rPr>
          <w:rFonts w:hint="eastAsia" w:ascii="宋体" w:hAnsi="宋体" w:cs="宋体"/>
          <w:sz w:val="21"/>
        </w:rPr>
        <w:t>19.2中国政府根据现行税法对卖方征收的与本合同有关的一切税费均应由该卖方负担。由卖方摊入各工程细目的单价中，不另行支付。</w:t>
      </w:r>
    </w:p>
    <w:p>
      <w:pPr>
        <w:pStyle w:val="17"/>
        <w:snapToGrid w:val="0"/>
        <w:spacing w:line="360" w:lineRule="auto"/>
        <w:jc w:val="left"/>
        <w:rPr>
          <w:rFonts w:ascii="宋体" w:hAnsi="宋体" w:cs="宋体"/>
          <w:sz w:val="21"/>
        </w:rPr>
      </w:pPr>
      <w:r>
        <w:rPr>
          <w:rFonts w:hint="eastAsia" w:ascii="宋体" w:hAnsi="宋体" w:cs="宋体"/>
          <w:sz w:val="21"/>
        </w:rPr>
        <w:t>19.3在中国境外发生的与本合同执行有关的一切税费均应由卖方负担。</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20  货款支付</w:t>
      </w:r>
    </w:p>
    <w:p>
      <w:pPr>
        <w:pStyle w:val="17"/>
        <w:snapToGrid w:val="0"/>
        <w:spacing w:line="360" w:lineRule="auto"/>
        <w:jc w:val="left"/>
        <w:rPr>
          <w:rFonts w:ascii="宋体" w:hAnsi="宋体" w:cs="宋体"/>
          <w:sz w:val="21"/>
        </w:rPr>
      </w:pPr>
      <w:r>
        <w:rPr>
          <w:rFonts w:hint="eastAsia" w:ascii="宋体" w:hAnsi="宋体" w:cs="宋体"/>
          <w:sz w:val="21"/>
        </w:rPr>
        <w:t>20.1预付款</w:t>
      </w:r>
    </w:p>
    <w:p>
      <w:pPr>
        <w:pStyle w:val="17"/>
        <w:snapToGrid w:val="0"/>
        <w:spacing w:line="360" w:lineRule="auto"/>
        <w:jc w:val="left"/>
        <w:rPr>
          <w:rFonts w:ascii="宋体" w:hAnsi="宋体" w:cs="宋体"/>
          <w:sz w:val="21"/>
        </w:rPr>
      </w:pPr>
      <w:r>
        <w:rPr>
          <w:rFonts w:hint="eastAsia" w:ascii="宋体" w:hAnsi="宋体" w:cs="宋体"/>
          <w:sz w:val="21"/>
        </w:rPr>
        <w:t>卖方与买方签订合同生效后一个月内，买方将按合同总价的一定比例(在合同专用条款中指明)付给卖方作为预付款。预付款在每期结算金额中按上述预付款相同比例由买方扣回。</w:t>
      </w:r>
    </w:p>
    <w:p>
      <w:pPr>
        <w:pStyle w:val="17"/>
        <w:snapToGrid w:val="0"/>
        <w:spacing w:line="360" w:lineRule="auto"/>
        <w:jc w:val="left"/>
        <w:rPr>
          <w:rFonts w:ascii="宋体" w:hAnsi="宋体" w:cs="宋体"/>
          <w:sz w:val="21"/>
        </w:rPr>
      </w:pPr>
      <w:r>
        <w:rPr>
          <w:rFonts w:hint="eastAsia" w:ascii="宋体" w:hAnsi="宋体" w:cs="宋体"/>
          <w:sz w:val="21"/>
        </w:rPr>
        <w:t>20.2到货支付</w:t>
      </w:r>
    </w:p>
    <w:p>
      <w:pPr>
        <w:pStyle w:val="17"/>
        <w:snapToGrid w:val="0"/>
        <w:spacing w:line="360" w:lineRule="auto"/>
        <w:jc w:val="left"/>
        <w:rPr>
          <w:rFonts w:ascii="宋体" w:hAnsi="宋体" w:cs="宋体"/>
          <w:sz w:val="21"/>
        </w:rPr>
      </w:pPr>
      <w:r>
        <w:rPr>
          <w:rFonts w:hint="eastAsia" w:ascii="宋体" w:hAnsi="宋体" w:cs="宋体"/>
          <w:sz w:val="21"/>
        </w:rPr>
        <w:t>根据买方的计划和要求，每批货物运至交货现场并验收合格后结算一次，结算间距时间为一个月以上。到货支付的货款金额=交货货物单价×验收数量。经卖方签字认可并经计量监理工程师签认的交接记录表的本此结算期累计供应数量，和买方与此相应的调拨单和质量验收合格证书为结算依据，由卖方按此数量开具全额的货款发票，到买方指定的地点办理货款结算。在每次验收、结算手续齐备后的28天内，买方将按当期结算金额的一定比例(在合同专用条款中指明)扣除保留金，并按第20.1款规定扣回预付款，扣除以上款项后的当期结算金额支付给卖方。</w:t>
      </w:r>
    </w:p>
    <w:p>
      <w:pPr>
        <w:pStyle w:val="17"/>
        <w:snapToGrid w:val="0"/>
        <w:spacing w:line="360" w:lineRule="auto"/>
        <w:jc w:val="left"/>
        <w:rPr>
          <w:rFonts w:ascii="宋体" w:hAnsi="宋体" w:cs="宋体"/>
          <w:sz w:val="21"/>
        </w:rPr>
      </w:pPr>
      <w:r>
        <w:rPr>
          <w:rFonts w:hint="eastAsia" w:ascii="宋体" w:hAnsi="宋体" w:cs="宋体"/>
          <w:sz w:val="21"/>
        </w:rPr>
        <w:t>20.3质量保证期结束后余款支付</w:t>
      </w:r>
    </w:p>
    <w:p>
      <w:pPr>
        <w:pStyle w:val="17"/>
        <w:snapToGrid w:val="0"/>
        <w:spacing w:line="360" w:lineRule="auto"/>
        <w:jc w:val="left"/>
        <w:rPr>
          <w:rFonts w:ascii="宋体" w:hAnsi="宋体" w:cs="宋体"/>
          <w:sz w:val="21"/>
        </w:rPr>
      </w:pPr>
      <w:r>
        <w:rPr>
          <w:rFonts w:hint="eastAsia" w:ascii="宋体" w:hAnsi="宋体" w:cs="宋体"/>
          <w:sz w:val="21"/>
        </w:rPr>
        <w:t>合同规定的质量保证期结束后28天内，买方在收到卖方支付请求后向卖方付清合同余款。</w:t>
      </w:r>
    </w:p>
    <w:p>
      <w:pPr>
        <w:pStyle w:val="17"/>
        <w:snapToGrid w:val="0"/>
        <w:spacing w:line="360" w:lineRule="auto"/>
        <w:jc w:val="left"/>
        <w:rPr>
          <w:rFonts w:ascii="宋体" w:hAnsi="宋体" w:cs="宋体"/>
          <w:sz w:val="21"/>
        </w:rPr>
      </w:pPr>
      <w:r>
        <w:rPr>
          <w:rFonts w:hint="eastAsia" w:ascii="宋体" w:hAnsi="宋体" w:cs="宋体"/>
          <w:sz w:val="21"/>
        </w:rPr>
        <w:t>20.4除非双方另有协议，合同支付均按人民币进行支付、结算。</w:t>
      </w:r>
    </w:p>
    <w:p>
      <w:pPr>
        <w:pStyle w:val="17"/>
        <w:snapToGrid w:val="0"/>
        <w:spacing w:line="360" w:lineRule="auto"/>
        <w:jc w:val="left"/>
        <w:rPr>
          <w:rFonts w:ascii="宋体" w:hAnsi="宋体" w:cs="宋体"/>
          <w:sz w:val="21"/>
        </w:rPr>
      </w:pPr>
      <w:r>
        <w:rPr>
          <w:rFonts w:hint="eastAsia" w:ascii="宋体" w:hAnsi="宋体" w:cs="宋体"/>
          <w:sz w:val="21"/>
        </w:rPr>
        <w:t>20.5在合同支付和结算时，卖方应向买方提供设备、材料供货商出具的商业发票正本。</w:t>
      </w:r>
    </w:p>
    <w:p>
      <w:pPr>
        <w:pStyle w:val="6"/>
        <w:spacing w:before="240"/>
        <w:rPr>
          <w:rFonts w:cs="宋体"/>
          <w:sz w:val="24"/>
          <w:szCs w:val="24"/>
        </w:rPr>
      </w:pPr>
      <w:r>
        <w:rPr>
          <w:rFonts w:hint="eastAsia" w:cs="宋体"/>
          <w:sz w:val="24"/>
          <w:szCs w:val="24"/>
        </w:rPr>
        <w:t>六  合同要素的变更</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21  变更指令</w:t>
      </w:r>
    </w:p>
    <w:p>
      <w:pPr>
        <w:pStyle w:val="17"/>
        <w:snapToGrid w:val="0"/>
        <w:spacing w:line="360" w:lineRule="auto"/>
        <w:jc w:val="left"/>
        <w:rPr>
          <w:rFonts w:ascii="宋体" w:hAnsi="宋体" w:cs="宋体"/>
          <w:sz w:val="21"/>
        </w:rPr>
      </w:pPr>
      <w:r>
        <w:rPr>
          <w:rFonts w:hint="eastAsia" w:ascii="宋体" w:hAnsi="宋体" w:cs="宋体"/>
          <w:sz w:val="21"/>
        </w:rPr>
        <w:t>21.1买方可以随时向卖方发出书面指令，在合同总体范围内对如下一项或几项提出变更：</w:t>
      </w:r>
    </w:p>
    <w:p>
      <w:pPr>
        <w:pStyle w:val="17"/>
        <w:snapToGrid w:val="0"/>
        <w:spacing w:line="360" w:lineRule="auto"/>
        <w:jc w:val="left"/>
        <w:rPr>
          <w:rFonts w:ascii="宋体" w:hAnsi="宋体" w:cs="宋体"/>
          <w:sz w:val="21"/>
        </w:rPr>
      </w:pPr>
      <w:r>
        <w:rPr>
          <w:rFonts w:hint="eastAsia" w:ascii="宋体" w:hAnsi="宋体" w:cs="宋体"/>
          <w:sz w:val="21"/>
        </w:rPr>
        <w:t>(1)货物数量；</w:t>
      </w:r>
    </w:p>
    <w:p>
      <w:pPr>
        <w:pStyle w:val="17"/>
        <w:snapToGrid w:val="0"/>
        <w:spacing w:line="360" w:lineRule="auto"/>
        <w:jc w:val="left"/>
        <w:rPr>
          <w:rFonts w:ascii="宋体" w:hAnsi="宋体" w:cs="宋体"/>
          <w:sz w:val="21"/>
        </w:rPr>
      </w:pPr>
      <w:r>
        <w:rPr>
          <w:rFonts w:hint="eastAsia" w:ascii="宋体" w:hAnsi="宋体" w:cs="宋体"/>
          <w:sz w:val="21"/>
        </w:rPr>
        <w:t>(2)需为买方特殊制造的货物的图纸、设计或规格；</w:t>
      </w:r>
    </w:p>
    <w:p>
      <w:pPr>
        <w:pStyle w:val="17"/>
        <w:snapToGrid w:val="0"/>
        <w:spacing w:line="360" w:lineRule="auto"/>
        <w:jc w:val="left"/>
        <w:rPr>
          <w:rFonts w:ascii="宋体" w:hAnsi="宋体" w:cs="宋体"/>
          <w:sz w:val="21"/>
        </w:rPr>
      </w:pPr>
      <w:r>
        <w:rPr>
          <w:rFonts w:hint="eastAsia" w:ascii="宋体" w:hAnsi="宋体" w:cs="宋体"/>
          <w:sz w:val="21"/>
        </w:rPr>
        <w:t>(3)装运方式和包装方式；</w:t>
      </w:r>
    </w:p>
    <w:p>
      <w:pPr>
        <w:pStyle w:val="17"/>
        <w:snapToGrid w:val="0"/>
        <w:spacing w:line="360" w:lineRule="auto"/>
        <w:jc w:val="left"/>
        <w:rPr>
          <w:rFonts w:ascii="宋体" w:hAnsi="宋体" w:cs="宋体"/>
          <w:sz w:val="21"/>
        </w:rPr>
      </w:pPr>
      <w:r>
        <w:rPr>
          <w:rFonts w:hint="eastAsia" w:ascii="宋体" w:hAnsi="宋体" w:cs="宋体"/>
          <w:sz w:val="21"/>
        </w:rPr>
        <w:t>(4)交货时间和地点；</w:t>
      </w:r>
    </w:p>
    <w:p>
      <w:pPr>
        <w:pStyle w:val="17"/>
        <w:snapToGrid w:val="0"/>
        <w:spacing w:line="360" w:lineRule="auto"/>
        <w:jc w:val="left"/>
        <w:rPr>
          <w:rFonts w:ascii="宋体" w:hAnsi="宋体" w:cs="宋体"/>
          <w:sz w:val="21"/>
        </w:rPr>
      </w:pPr>
      <w:r>
        <w:rPr>
          <w:rFonts w:hint="eastAsia" w:ascii="宋体" w:hAnsi="宋体" w:cs="宋体"/>
          <w:sz w:val="21"/>
        </w:rPr>
        <w:t>(5)卖方须提供的服务。</w:t>
      </w:r>
    </w:p>
    <w:p>
      <w:pPr>
        <w:pStyle w:val="17"/>
        <w:snapToGrid w:val="0"/>
        <w:spacing w:line="360" w:lineRule="auto"/>
        <w:jc w:val="left"/>
        <w:rPr>
          <w:rFonts w:ascii="宋体" w:hAnsi="宋体" w:cs="宋体"/>
          <w:sz w:val="21"/>
        </w:rPr>
      </w:pPr>
      <w:r>
        <w:rPr>
          <w:rFonts w:hint="eastAsia" w:ascii="宋体" w:hAnsi="宋体" w:cs="宋体"/>
          <w:sz w:val="21"/>
        </w:rPr>
        <w:t>21.2若上述变更导致了卖方履行合同项下任何部分义务的费用或所需时间的增减，应对合同价格或交货进度进行合理的调整，同时相应地修改合同。卖方必须在接到买方的变更指示后30天内根据本款提出调整的实施意见。</w:t>
      </w:r>
    </w:p>
    <w:p>
      <w:pPr>
        <w:pStyle w:val="17"/>
        <w:snapToGrid w:val="0"/>
        <w:spacing w:line="360" w:lineRule="auto"/>
        <w:jc w:val="left"/>
        <w:rPr>
          <w:rFonts w:ascii="宋体" w:hAnsi="宋体" w:cs="宋体"/>
          <w:sz w:val="21"/>
        </w:rPr>
      </w:pPr>
      <w:r>
        <w:rPr>
          <w:rFonts w:hint="eastAsia" w:ascii="宋体" w:hAnsi="宋体" w:cs="宋体"/>
          <w:sz w:val="21"/>
        </w:rPr>
        <w:t>21.3下述情况不应视为变更：</w:t>
      </w:r>
    </w:p>
    <w:p>
      <w:pPr>
        <w:pStyle w:val="17"/>
        <w:snapToGrid w:val="0"/>
        <w:spacing w:line="360" w:lineRule="auto"/>
        <w:jc w:val="left"/>
        <w:rPr>
          <w:rFonts w:ascii="宋体" w:hAnsi="宋体" w:cs="宋体"/>
          <w:sz w:val="21"/>
        </w:rPr>
      </w:pPr>
      <w:r>
        <w:rPr>
          <w:rFonts w:hint="eastAsia" w:ascii="宋体" w:hAnsi="宋体" w:cs="宋体"/>
          <w:sz w:val="21"/>
        </w:rPr>
        <w:t>(1)由于卖方在合同履行期间未尽到合同内的责任和义务；</w:t>
      </w:r>
    </w:p>
    <w:p>
      <w:pPr>
        <w:pStyle w:val="17"/>
        <w:snapToGrid w:val="0"/>
        <w:spacing w:line="360" w:lineRule="auto"/>
        <w:jc w:val="left"/>
        <w:rPr>
          <w:rFonts w:ascii="宋体" w:hAnsi="宋体" w:cs="宋体"/>
          <w:sz w:val="21"/>
        </w:rPr>
      </w:pPr>
      <w:r>
        <w:rPr>
          <w:rFonts w:hint="eastAsia" w:ascii="宋体" w:hAnsi="宋体" w:cs="宋体"/>
          <w:sz w:val="21"/>
        </w:rPr>
        <w:t>(2)由于卖方的责任造成工程的延迟和质量缺陷，买方或监理工程师为保证工程进度和质量所采取的特殊措施；</w:t>
      </w:r>
    </w:p>
    <w:p>
      <w:pPr>
        <w:pStyle w:val="17"/>
        <w:snapToGrid w:val="0"/>
        <w:spacing w:line="360" w:lineRule="auto"/>
        <w:jc w:val="left"/>
        <w:rPr>
          <w:rFonts w:ascii="宋体" w:hAnsi="宋体" w:cs="宋体"/>
          <w:sz w:val="21"/>
        </w:rPr>
      </w:pPr>
      <w:r>
        <w:rPr>
          <w:rFonts w:hint="eastAsia" w:ascii="宋体" w:hAnsi="宋体" w:cs="宋体"/>
          <w:sz w:val="21"/>
        </w:rPr>
        <w:t>(3)按照合同和图纸要求可以推知是卖方执行合同的义务和责任。</w:t>
      </w:r>
    </w:p>
    <w:p>
      <w:pPr>
        <w:pStyle w:val="17"/>
        <w:snapToGrid w:val="0"/>
        <w:spacing w:line="360" w:lineRule="auto"/>
        <w:jc w:val="left"/>
        <w:rPr>
          <w:rFonts w:ascii="宋体" w:hAnsi="宋体" w:cs="宋体"/>
          <w:sz w:val="21"/>
        </w:rPr>
      </w:pPr>
      <w:r>
        <w:rPr>
          <w:rFonts w:hint="eastAsia" w:ascii="宋体" w:hAnsi="宋体" w:cs="宋体"/>
          <w:sz w:val="21"/>
        </w:rPr>
        <w:t>21.4卖方不得以任何变更作为理由，改变1二程的交_工时间或质量特性要求，除非按照买方和监理工程师的变更指令是一般卖方无法按合同要求完成的。</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22  确定变更价款</w:t>
      </w:r>
    </w:p>
    <w:p>
      <w:pPr>
        <w:pStyle w:val="17"/>
        <w:snapToGrid w:val="0"/>
        <w:spacing w:line="360" w:lineRule="auto"/>
        <w:jc w:val="left"/>
        <w:rPr>
          <w:rFonts w:ascii="宋体" w:hAnsi="宋体" w:cs="宋体"/>
          <w:sz w:val="21"/>
        </w:rPr>
      </w:pPr>
      <w:r>
        <w:rPr>
          <w:rFonts w:hint="eastAsia" w:ascii="宋体" w:hAnsi="宋体" w:cs="宋体"/>
          <w:sz w:val="21"/>
        </w:rPr>
        <w:t>22.1发生第21条规定的变更后，在双方协商后，卖方提出变更价格，报监理丁程师和买方审批。</w:t>
      </w:r>
    </w:p>
    <w:p>
      <w:pPr>
        <w:pStyle w:val="17"/>
        <w:snapToGrid w:val="0"/>
        <w:spacing w:line="360" w:lineRule="auto"/>
        <w:jc w:val="left"/>
        <w:rPr>
          <w:rFonts w:ascii="宋体" w:hAnsi="宋体" w:cs="宋体"/>
          <w:sz w:val="21"/>
        </w:rPr>
      </w:pPr>
      <w:r>
        <w:rPr>
          <w:rFonts w:hint="eastAsia" w:ascii="宋体" w:hAnsi="宋体" w:cs="宋体"/>
          <w:sz w:val="21"/>
        </w:rPr>
        <w:t>22.2监理工程师和买方将以国家的有关规定或投标人的投标书进行审核。</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23  合同修改</w:t>
      </w:r>
    </w:p>
    <w:p>
      <w:pPr>
        <w:pStyle w:val="17"/>
        <w:snapToGrid w:val="0"/>
        <w:spacing w:line="360" w:lineRule="auto"/>
        <w:jc w:val="left"/>
        <w:rPr>
          <w:rFonts w:ascii="宋体" w:hAnsi="宋体" w:cs="宋体"/>
          <w:sz w:val="21"/>
        </w:rPr>
      </w:pPr>
      <w:r>
        <w:rPr>
          <w:rFonts w:hint="eastAsia" w:ascii="宋体" w:hAnsi="宋体" w:cs="宋体"/>
          <w:sz w:val="21"/>
        </w:rPr>
        <w:t>23.1对合同条款作出任何改动或偏离，均需由双方签署书面的合同修改书。</w:t>
      </w:r>
    </w:p>
    <w:p>
      <w:pPr>
        <w:pStyle w:val="6"/>
        <w:spacing w:before="240"/>
        <w:rPr>
          <w:rFonts w:cs="宋体"/>
          <w:sz w:val="24"/>
          <w:szCs w:val="24"/>
        </w:rPr>
      </w:pPr>
      <w:r>
        <w:rPr>
          <w:rFonts w:hint="eastAsia" w:cs="宋体"/>
          <w:sz w:val="24"/>
          <w:szCs w:val="24"/>
        </w:rPr>
        <w:t>七  延期交货、索赔和争议</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24  卖方履约延误和误期赔偿费</w:t>
      </w:r>
    </w:p>
    <w:p>
      <w:pPr>
        <w:pStyle w:val="17"/>
        <w:snapToGrid w:val="0"/>
        <w:spacing w:line="360" w:lineRule="auto"/>
        <w:jc w:val="left"/>
        <w:rPr>
          <w:rFonts w:ascii="宋体" w:hAnsi="宋体" w:cs="宋体"/>
          <w:sz w:val="21"/>
        </w:rPr>
      </w:pPr>
      <w:r>
        <w:rPr>
          <w:rFonts w:hint="eastAsia" w:ascii="宋体" w:hAnsi="宋体" w:cs="宋体"/>
          <w:sz w:val="21"/>
        </w:rPr>
        <w:t>24.1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w:t>
      </w:r>
    </w:p>
    <w:p>
      <w:pPr>
        <w:pStyle w:val="17"/>
        <w:snapToGrid w:val="0"/>
        <w:spacing w:line="360" w:lineRule="auto"/>
        <w:jc w:val="left"/>
        <w:rPr>
          <w:rFonts w:ascii="宋体" w:hAnsi="宋体" w:cs="宋体"/>
          <w:sz w:val="21"/>
        </w:rPr>
      </w:pPr>
      <w:r>
        <w:rPr>
          <w:rFonts w:hint="eastAsia" w:ascii="宋体" w:hAnsi="宋体" w:cs="宋体"/>
          <w:sz w:val="21"/>
        </w:rPr>
        <w:t>24.2如果卖方未能按合同规定的时间按期交货和提供服务(本合同第30条规定的不可抗力除外)，并同意支付误期赔偿费。误期赔偿费的支付将由付款银行从已付款或从履约保证金中扣除。每延误7天的赔偿费，按迟交货物金额或未提供服务费用的一定比例(见合同专用条款资料表)计收，(不满7天按7天计算)，直至交货或提供服务为止。误期赔偿费的最高限额为合同价格的一定比例 (见合同专用条款数据表)。一旦达到误期赔偿费的最高限额，买方可考虑根据合同条款第33条的规定终止合同。</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25  争议</w:t>
      </w:r>
    </w:p>
    <w:p>
      <w:pPr>
        <w:pStyle w:val="17"/>
        <w:snapToGrid w:val="0"/>
        <w:spacing w:line="360" w:lineRule="auto"/>
        <w:jc w:val="left"/>
        <w:rPr>
          <w:rFonts w:ascii="宋体" w:hAnsi="宋体" w:cs="宋体"/>
          <w:sz w:val="21"/>
        </w:rPr>
      </w:pPr>
      <w:r>
        <w:rPr>
          <w:rFonts w:hint="eastAsia" w:ascii="宋体" w:hAnsi="宋体" w:cs="宋体"/>
          <w:sz w:val="21"/>
        </w:rPr>
        <w:t>25.1买方、卖方在履行合同时发生争议，可以和解或者要求有关主管部门调解。当事人不愿和解、调解或者和解、调解不成的，双方可以在专用条款内约定以下一种方式解决争议：</w:t>
      </w:r>
    </w:p>
    <w:p>
      <w:pPr>
        <w:pStyle w:val="17"/>
        <w:snapToGrid w:val="0"/>
        <w:spacing w:line="360" w:lineRule="auto"/>
        <w:jc w:val="left"/>
        <w:rPr>
          <w:rFonts w:ascii="宋体" w:hAnsi="宋体" w:cs="宋体"/>
          <w:sz w:val="21"/>
        </w:rPr>
      </w:pPr>
      <w:r>
        <w:rPr>
          <w:rFonts w:hint="eastAsia" w:ascii="宋体" w:hAnsi="宋体" w:cs="宋体"/>
          <w:sz w:val="21"/>
        </w:rPr>
        <w:t>第一种解决方式：双方达成仲裁协议，向约定的仲裁委员会申请仲裁，本合同约定的仲裁委员会是 (见合同专用条款资料表)；</w:t>
      </w:r>
    </w:p>
    <w:p>
      <w:pPr>
        <w:pStyle w:val="17"/>
        <w:snapToGrid w:val="0"/>
        <w:spacing w:line="360" w:lineRule="auto"/>
        <w:jc w:val="left"/>
        <w:rPr>
          <w:rFonts w:ascii="宋体" w:hAnsi="宋体" w:cs="宋体"/>
          <w:sz w:val="21"/>
        </w:rPr>
      </w:pPr>
      <w:r>
        <w:rPr>
          <w:rFonts w:hint="eastAsia" w:ascii="宋体" w:hAnsi="宋体" w:cs="宋体"/>
          <w:sz w:val="21"/>
        </w:rPr>
        <w:t>第二种解决方式：向有管辖权的人民法院起诉。</w:t>
      </w:r>
    </w:p>
    <w:p>
      <w:pPr>
        <w:pStyle w:val="17"/>
        <w:snapToGrid w:val="0"/>
        <w:spacing w:line="360" w:lineRule="auto"/>
        <w:jc w:val="left"/>
        <w:rPr>
          <w:rFonts w:ascii="宋体" w:hAnsi="宋体" w:cs="宋体"/>
          <w:sz w:val="21"/>
        </w:rPr>
      </w:pPr>
      <w:r>
        <w:rPr>
          <w:rFonts w:hint="eastAsia" w:ascii="宋体" w:hAnsi="宋体" w:cs="宋体"/>
          <w:sz w:val="21"/>
        </w:rPr>
        <w:t>25.2发生争议后，除非出现下列情况的，双方都应继续履行合同，保持施工连续，保护好已完工程：</w:t>
      </w:r>
    </w:p>
    <w:p>
      <w:pPr>
        <w:pStyle w:val="17"/>
        <w:snapToGrid w:val="0"/>
        <w:spacing w:line="360" w:lineRule="auto"/>
        <w:jc w:val="left"/>
        <w:rPr>
          <w:rFonts w:ascii="宋体" w:hAnsi="宋体" w:cs="宋体"/>
          <w:sz w:val="21"/>
        </w:rPr>
      </w:pPr>
      <w:r>
        <w:rPr>
          <w:rFonts w:hint="eastAsia" w:ascii="宋体" w:hAnsi="宋体" w:cs="宋体"/>
          <w:sz w:val="21"/>
        </w:rPr>
        <w:t xml:space="preserve"> (1)单方违约导致合同确已无法履行，双方协议停止施工；</w:t>
      </w:r>
    </w:p>
    <w:p>
      <w:pPr>
        <w:pStyle w:val="17"/>
        <w:snapToGrid w:val="0"/>
        <w:spacing w:line="360" w:lineRule="auto"/>
        <w:jc w:val="left"/>
        <w:rPr>
          <w:rFonts w:ascii="宋体" w:hAnsi="宋体" w:cs="宋体"/>
          <w:sz w:val="21"/>
        </w:rPr>
      </w:pPr>
      <w:r>
        <w:rPr>
          <w:rFonts w:hint="eastAsia" w:ascii="宋体" w:hAnsi="宋体" w:cs="宋体"/>
          <w:sz w:val="21"/>
        </w:rPr>
        <w:t xml:space="preserve"> (2)调解要求停止施工，且为双方接受；</w:t>
      </w:r>
    </w:p>
    <w:p>
      <w:pPr>
        <w:pStyle w:val="17"/>
        <w:snapToGrid w:val="0"/>
        <w:spacing w:line="360" w:lineRule="auto"/>
        <w:jc w:val="left"/>
        <w:rPr>
          <w:rFonts w:ascii="宋体" w:hAnsi="宋体" w:cs="宋体"/>
          <w:sz w:val="21"/>
        </w:rPr>
      </w:pPr>
      <w:r>
        <w:rPr>
          <w:rFonts w:hint="eastAsia" w:ascii="宋体" w:hAnsi="宋体" w:cs="宋体"/>
          <w:sz w:val="21"/>
        </w:rPr>
        <w:t xml:space="preserve"> (3)仲裁机构要求停止施工；</w:t>
      </w:r>
    </w:p>
    <w:p>
      <w:pPr>
        <w:pStyle w:val="17"/>
        <w:snapToGrid w:val="0"/>
        <w:spacing w:line="360" w:lineRule="auto"/>
        <w:jc w:val="left"/>
        <w:rPr>
          <w:rFonts w:ascii="宋体" w:hAnsi="宋体" w:cs="宋体"/>
          <w:sz w:val="21"/>
        </w:rPr>
      </w:pPr>
      <w:r>
        <w:rPr>
          <w:rFonts w:hint="eastAsia" w:ascii="宋体" w:hAnsi="宋体" w:cs="宋体"/>
          <w:sz w:val="21"/>
        </w:rPr>
        <w:t xml:space="preserve"> (4)法院要求停止施工。</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26  索赔</w:t>
      </w:r>
    </w:p>
    <w:p>
      <w:pPr>
        <w:pStyle w:val="17"/>
        <w:snapToGrid w:val="0"/>
        <w:spacing w:line="360" w:lineRule="auto"/>
        <w:jc w:val="left"/>
        <w:rPr>
          <w:rFonts w:ascii="宋体" w:hAnsi="宋体" w:cs="宋体"/>
          <w:sz w:val="21"/>
        </w:rPr>
      </w:pPr>
      <w:r>
        <w:rPr>
          <w:rFonts w:hint="eastAsia" w:ascii="宋体" w:hAnsi="宋体" w:cs="宋体"/>
          <w:sz w:val="21"/>
        </w:rPr>
        <w:t>26.1果卖方对偏差负有责任而买方在合同的其他条款规定的检验、验收过程中和质保期内提出了索赔，则根据实际的偏差程度，卖方应以买方同意的下列一种方式(或几种方式相结合)来解决索赔事宜。</w:t>
      </w:r>
    </w:p>
    <w:p>
      <w:pPr>
        <w:pStyle w:val="17"/>
        <w:snapToGrid w:val="0"/>
        <w:spacing w:line="360" w:lineRule="auto"/>
        <w:jc w:val="left"/>
        <w:rPr>
          <w:rFonts w:ascii="宋体" w:hAnsi="宋体" w:cs="宋体"/>
          <w:sz w:val="21"/>
        </w:rPr>
      </w:pPr>
      <w:r>
        <w:rPr>
          <w:rFonts w:hint="eastAsia" w:ascii="宋体" w:hAnsi="宋体" w:cs="宋体"/>
          <w:sz w:val="21"/>
        </w:rPr>
        <w:t>(1)卖方同意退货并用合同规定的货币将货款退还给买方，并承担由此发生的一切损失和费用，包括利息、银行手续费、运输费、保险费、检验费、仓储费、装卸费以及为看管和保护退回货物所需的其他必要费用。</w:t>
      </w:r>
    </w:p>
    <w:p>
      <w:pPr>
        <w:pStyle w:val="17"/>
        <w:snapToGrid w:val="0"/>
        <w:spacing w:line="360" w:lineRule="auto"/>
        <w:jc w:val="left"/>
        <w:rPr>
          <w:rFonts w:ascii="宋体" w:hAnsi="宋体" w:cs="宋体"/>
          <w:sz w:val="21"/>
        </w:rPr>
      </w:pPr>
      <w:r>
        <w:rPr>
          <w:rFonts w:hint="eastAsia" w:ascii="宋体" w:hAnsi="宋体" w:cs="宋体"/>
          <w:sz w:val="21"/>
        </w:rPr>
        <w:t>(2)根据货物的低劣程度、损坏程度以及买方遭受损失的金额大小，经过买卖双方商定，降低货物的价格。</w:t>
      </w:r>
    </w:p>
    <w:p>
      <w:pPr>
        <w:pStyle w:val="17"/>
        <w:snapToGrid w:val="0"/>
        <w:spacing w:line="360" w:lineRule="auto"/>
        <w:jc w:val="left"/>
        <w:rPr>
          <w:rFonts w:ascii="宋体" w:hAnsi="宋体" w:cs="宋体"/>
          <w:sz w:val="21"/>
        </w:rPr>
      </w:pPr>
      <w:r>
        <w:rPr>
          <w:rFonts w:hint="eastAsia" w:ascii="宋体" w:hAnsi="宋体" w:cs="宋体"/>
          <w:sz w:val="21"/>
        </w:rPr>
        <w:t>(3)用符合合同规定的规格、质量和性能要求的新零件、部件和／或设备来更换有缺陷的部分和／或修补缺陷部分，卖方应承担一切费用和风险并负担买方蒙受的全部直接损失费用。同时，卖方应相应延长所更换货物的质保期。</w:t>
      </w:r>
    </w:p>
    <w:p>
      <w:pPr>
        <w:pStyle w:val="17"/>
        <w:snapToGrid w:val="0"/>
        <w:spacing w:line="360" w:lineRule="auto"/>
        <w:jc w:val="left"/>
        <w:rPr>
          <w:rFonts w:ascii="宋体" w:hAnsi="宋体" w:cs="宋体"/>
          <w:sz w:val="21"/>
        </w:rPr>
      </w:pPr>
      <w:r>
        <w:rPr>
          <w:rFonts w:hint="eastAsia" w:ascii="宋体" w:hAnsi="宋体" w:cs="宋体"/>
          <w:sz w:val="21"/>
        </w:rPr>
        <w:t>26.2如果在买方发出索赔通知后的30天内，卖方未作答复，上述索赔应视为已被卖方接受。</w:t>
      </w:r>
    </w:p>
    <w:p>
      <w:pPr>
        <w:pStyle w:val="17"/>
        <w:snapToGrid w:val="0"/>
        <w:spacing w:line="360" w:lineRule="auto"/>
        <w:jc w:val="left"/>
        <w:rPr>
          <w:rFonts w:ascii="宋体" w:hAnsi="宋体" w:cs="宋体"/>
          <w:sz w:val="21"/>
        </w:rPr>
      </w:pPr>
      <w:r>
        <w:rPr>
          <w:rFonts w:hint="eastAsia" w:ascii="宋体" w:hAnsi="宋体" w:cs="宋体"/>
          <w:sz w:val="21"/>
        </w:rPr>
        <w:t>如卖方未能在买方发出索赔通知后的30天内或买方同意的延长期限内，按照买方同意的上述规定的任何一种方式(或几种方式相结合)来解决索赔事宜，买方将从应付款或从卖方开具的履约保证金中扣回索赔金额。</w:t>
      </w:r>
    </w:p>
    <w:p>
      <w:pPr>
        <w:pStyle w:val="6"/>
        <w:spacing w:before="240"/>
        <w:rPr>
          <w:rFonts w:cs="宋体"/>
          <w:sz w:val="24"/>
          <w:szCs w:val="24"/>
        </w:rPr>
      </w:pPr>
      <w:r>
        <w:rPr>
          <w:rFonts w:hint="eastAsia" w:cs="宋体"/>
          <w:sz w:val="24"/>
          <w:szCs w:val="24"/>
        </w:rPr>
        <w:t>八  风险的分担</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27  专利权</w:t>
      </w:r>
    </w:p>
    <w:p>
      <w:pPr>
        <w:pStyle w:val="17"/>
        <w:snapToGrid w:val="0"/>
        <w:spacing w:line="360" w:lineRule="auto"/>
        <w:jc w:val="left"/>
        <w:rPr>
          <w:rFonts w:ascii="宋体" w:hAnsi="宋体" w:cs="宋体"/>
          <w:sz w:val="21"/>
        </w:rPr>
      </w:pPr>
      <w:r>
        <w:rPr>
          <w:rFonts w:hint="eastAsia" w:ascii="宋体" w:hAnsi="宋体" w:cs="宋体"/>
          <w:sz w:val="21"/>
        </w:rPr>
        <w:t>27.1卖方须保障买方在中华人民共和国使用其货物、服务及其任何部分而不受到第三方关于侵犯专利权、商标权或工业设计权的指控。任何第三方如果提出侵权指控，卖方须与第三方交涉并承担可能发生的一切法律和费用责任。</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28  产权和风险的转移</w:t>
      </w:r>
    </w:p>
    <w:p>
      <w:pPr>
        <w:pStyle w:val="17"/>
        <w:snapToGrid w:val="0"/>
        <w:spacing w:line="360" w:lineRule="auto"/>
        <w:jc w:val="left"/>
        <w:rPr>
          <w:rFonts w:ascii="宋体" w:hAnsi="宋体" w:cs="宋体"/>
          <w:sz w:val="21"/>
        </w:rPr>
      </w:pPr>
      <w:r>
        <w:rPr>
          <w:rFonts w:hint="eastAsia" w:ascii="宋体" w:hAnsi="宋体" w:cs="宋体"/>
          <w:sz w:val="21"/>
        </w:rPr>
        <w:t>28.1货物的产权，当卖方将货物运至交货地点且出具测试等相应报告、买方支付货款后应转移至买方。</w:t>
      </w:r>
    </w:p>
    <w:p>
      <w:pPr>
        <w:pStyle w:val="17"/>
        <w:snapToGrid w:val="0"/>
        <w:spacing w:line="360" w:lineRule="auto"/>
        <w:jc w:val="left"/>
        <w:rPr>
          <w:rFonts w:ascii="宋体" w:hAnsi="宋体" w:cs="宋体"/>
          <w:sz w:val="21"/>
        </w:rPr>
      </w:pPr>
      <w:r>
        <w:rPr>
          <w:rFonts w:hint="eastAsia" w:ascii="宋体" w:hAnsi="宋体" w:cs="宋体"/>
          <w:sz w:val="21"/>
        </w:rPr>
        <w:t>28.2货物运输损失的风险在货物运到交货地点且出具测试等相应报告、买方支付货款后应从卖方转移到买方，货物的其他风险仍然在卖方，直到货物经买方实施检验且出具相应报告时最终转移至买方。</w:t>
      </w:r>
    </w:p>
    <w:p>
      <w:pPr>
        <w:pStyle w:val="17"/>
        <w:snapToGrid w:val="0"/>
        <w:spacing w:line="360" w:lineRule="auto"/>
        <w:jc w:val="left"/>
        <w:rPr>
          <w:rFonts w:ascii="宋体" w:hAnsi="宋体" w:cs="宋体"/>
          <w:sz w:val="21"/>
        </w:rPr>
      </w:pPr>
      <w:r>
        <w:rPr>
          <w:rFonts w:hint="eastAsia" w:ascii="宋体" w:hAnsi="宋体" w:cs="宋体"/>
          <w:sz w:val="21"/>
        </w:rPr>
        <w:t>28.3在拒收情况下，已成为买方财产又被买方拒收的货物的所有权及其风险从买方转移到卖方。</w:t>
      </w:r>
    </w:p>
    <w:p>
      <w:pPr>
        <w:pStyle w:val="6"/>
        <w:spacing w:before="240"/>
        <w:rPr>
          <w:rFonts w:cs="宋体"/>
          <w:sz w:val="24"/>
          <w:szCs w:val="24"/>
        </w:rPr>
      </w:pPr>
      <w:r>
        <w:rPr>
          <w:rFonts w:hint="eastAsia" w:cs="宋体"/>
          <w:sz w:val="24"/>
          <w:szCs w:val="24"/>
        </w:rPr>
        <w:t>九  其  他</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29  保险</w:t>
      </w:r>
    </w:p>
    <w:p>
      <w:pPr>
        <w:pStyle w:val="17"/>
        <w:snapToGrid w:val="0"/>
        <w:spacing w:line="360" w:lineRule="auto"/>
        <w:jc w:val="left"/>
        <w:rPr>
          <w:rFonts w:ascii="宋体" w:hAnsi="宋体" w:cs="宋体"/>
          <w:sz w:val="21"/>
        </w:rPr>
      </w:pPr>
      <w:r>
        <w:rPr>
          <w:rFonts w:hint="eastAsia" w:ascii="宋体" w:hAnsi="宋体" w:cs="宋体"/>
          <w:sz w:val="21"/>
        </w:rPr>
        <w:t>29.1卖方有责任和义务对用于工程的设备、材料等的运输、施工设备、卖方的雇员等办理有关保险，费用由卖方承担并支付，并使之在合同执行过程中保持有效。</w:t>
      </w:r>
    </w:p>
    <w:p>
      <w:pPr>
        <w:pStyle w:val="17"/>
        <w:snapToGrid w:val="0"/>
        <w:spacing w:line="360" w:lineRule="auto"/>
        <w:jc w:val="left"/>
        <w:rPr>
          <w:rFonts w:ascii="宋体" w:hAnsi="宋体" w:cs="宋体"/>
          <w:sz w:val="21"/>
        </w:rPr>
      </w:pPr>
      <w:r>
        <w:rPr>
          <w:rFonts w:hint="eastAsia" w:ascii="宋体" w:hAnsi="宋体" w:cs="宋体"/>
          <w:sz w:val="21"/>
        </w:rPr>
        <w:t>29.2卖方应对货物在制造、购置、运输过程中的丢失或损坏以合同规定的货币进行全面保险，费用由卖方承担。</w:t>
      </w:r>
    </w:p>
    <w:p>
      <w:pPr>
        <w:pStyle w:val="17"/>
        <w:snapToGrid w:val="0"/>
        <w:spacing w:line="360" w:lineRule="auto"/>
        <w:jc w:val="left"/>
        <w:rPr>
          <w:rFonts w:ascii="宋体" w:hAnsi="宋体" w:cs="宋体"/>
          <w:sz w:val="21"/>
        </w:rPr>
      </w:pPr>
      <w:r>
        <w:rPr>
          <w:rFonts w:hint="eastAsia" w:ascii="宋体" w:hAnsi="宋体" w:cs="宋体"/>
          <w:sz w:val="21"/>
        </w:rPr>
        <w:t>29.3货物运至合同规定的交货地点以后的所有保险由买方承担。</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30  不可抗力</w:t>
      </w:r>
    </w:p>
    <w:p>
      <w:pPr>
        <w:pStyle w:val="17"/>
        <w:snapToGrid w:val="0"/>
        <w:spacing w:line="360" w:lineRule="auto"/>
        <w:jc w:val="left"/>
        <w:rPr>
          <w:rFonts w:ascii="宋体" w:hAnsi="宋体" w:cs="宋体"/>
          <w:sz w:val="21"/>
        </w:rPr>
      </w:pPr>
      <w:r>
        <w:rPr>
          <w:rFonts w:hint="eastAsia" w:ascii="宋体" w:hAnsi="宋体" w:cs="宋体"/>
          <w:sz w:val="21"/>
        </w:rPr>
        <w:t>30.1签约双方任一方由于受诸如战争、严重火灾、洪水、台风、地震等不可抗力事故的影响而不能执行合同时，履行合同的期限应予以延长，延长的期限应相当于事故所影响的时间。不可抗力事故系指买卖双方在签署合同时所不能预见的，并且它的发生及其后果是无法避免和无法克服的事故。</w:t>
      </w:r>
    </w:p>
    <w:p>
      <w:pPr>
        <w:pStyle w:val="17"/>
        <w:snapToGrid w:val="0"/>
        <w:spacing w:line="360" w:lineRule="auto"/>
        <w:jc w:val="left"/>
        <w:rPr>
          <w:rFonts w:ascii="宋体" w:hAnsi="宋体" w:cs="宋体"/>
          <w:sz w:val="21"/>
        </w:rPr>
      </w:pPr>
      <w:r>
        <w:rPr>
          <w:rFonts w:hint="eastAsia" w:ascii="宋体" w:hAnsi="宋体" w:cs="宋体"/>
          <w:sz w:val="21"/>
        </w:rPr>
        <w:t>30.2受阻一方应在不可抗力事故发生后尽快用电报或传真通知对方，并于事故发生后14天内将有关当局出具的证明文件用特快专递或挂号信寄给对方审阅确认。一旦不可抗力事故的影响持续90天以上，双方应通过友好协商在合理的时间内达成进一步履行合同的协议。</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31  质量保证期</w:t>
      </w:r>
    </w:p>
    <w:p>
      <w:pPr>
        <w:pStyle w:val="17"/>
        <w:snapToGrid w:val="0"/>
        <w:spacing w:line="360" w:lineRule="auto"/>
        <w:jc w:val="left"/>
        <w:rPr>
          <w:rFonts w:ascii="宋体" w:hAnsi="宋体" w:cs="宋体"/>
          <w:sz w:val="21"/>
        </w:rPr>
      </w:pPr>
      <w:r>
        <w:rPr>
          <w:rFonts w:hint="eastAsia" w:ascii="宋体" w:hAnsi="宋体" w:cs="宋体"/>
          <w:sz w:val="21"/>
        </w:rPr>
        <w:t>31.1货物的质量保证期在合同专用条款资料表中指明，从使用本合同项下采购货物的工程通过交工验收之日起算。在质量保证期内，货物如发生自然损坏，除不可抗拒的原因之外，卖方应承担提供更换的货物的费用。</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32  合同生效</w:t>
      </w:r>
    </w:p>
    <w:p>
      <w:pPr>
        <w:pStyle w:val="17"/>
        <w:snapToGrid w:val="0"/>
        <w:spacing w:line="360" w:lineRule="auto"/>
        <w:jc w:val="left"/>
        <w:rPr>
          <w:rFonts w:ascii="宋体" w:hAnsi="宋体" w:cs="宋体"/>
          <w:sz w:val="21"/>
        </w:rPr>
      </w:pPr>
      <w:r>
        <w:rPr>
          <w:rFonts w:hint="eastAsia" w:ascii="宋体" w:hAnsi="宋体" w:cs="宋体"/>
          <w:sz w:val="21"/>
        </w:rPr>
        <w:t>32.1除合同中另有说明，本合同经双方签字盖章，并经鉴证单位鉴证后即开始生效。</w:t>
      </w:r>
    </w:p>
    <w:p>
      <w:pPr>
        <w:pStyle w:val="17"/>
        <w:snapToGrid w:val="0"/>
        <w:spacing w:line="360" w:lineRule="auto"/>
        <w:jc w:val="left"/>
        <w:rPr>
          <w:rFonts w:ascii="宋体" w:hAnsi="宋体" w:cs="宋体"/>
          <w:sz w:val="21"/>
        </w:rPr>
      </w:pPr>
      <w:r>
        <w:rPr>
          <w:rFonts w:hint="eastAsia" w:ascii="宋体" w:hAnsi="宋体" w:cs="宋体"/>
          <w:sz w:val="21"/>
        </w:rPr>
        <w:t>32.2合同生效后，双方都应严格履行合同，如出现问题应按照《合同法》等有关规定办理。</w:t>
      </w:r>
    </w:p>
    <w:p>
      <w:pPr>
        <w:pStyle w:val="17"/>
        <w:snapToGrid w:val="0"/>
        <w:spacing w:line="360" w:lineRule="auto"/>
        <w:jc w:val="left"/>
        <w:rPr>
          <w:rFonts w:ascii="宋体" w:hAnsi="宋体" w:cs="宋体"/>
          <w:sz w:val="21"/>
        </w:rPr>
      </w:pPr>
      <w:r>
        <w:rPr>
          <w:rFonts w:hint="eastAsia" w:ascii="宋体" w:hAnsi="宋体" w:cs="宋体"/>
          <w:sz w:val="21"/>
        </w:rPr>
        <w:t>32.3合同在执行过程中出现的未尽事宜，双方在不违背合同和招标文件的原则下，协商解决。协商结果以“纪要”方式作为合同的附件，与合同具有同等效力。</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33  违约终止合同</w:t>
      </w:r>
    </w:p>
    <w:p>
      <w:pPr>
        <w:pStyle w:val="17"/>
        <w:snapToGrid w:val="0"/>
        <w:spacing w:line="360" w:lineRule="auto"/>
        <w:jc w:val="left"/>
        <w:rPr>
          <w:rFonts w:ascii="宋体" w:hAnsi="宋体" w:cs="宋体"/>
          <w:sz w:val="21"/>
        </w:rPr>
      </w:pPr>
      <w:r>
        <w:rPr>
          <w:rFonts w:hint="eastAsia" w:ascii="宋体" w:hAnsi="宋体" w:cs="宋体"/>
          <w:sz w:val="21"/>
        </w:rPr>
        <w:t>33.1卖方的违约</w:t>
      </w:r>
    </w:p>
    <w:p>
      <w:pPr>
        <w:pStyle w:val="17"/>
        <w:snapToGrid w:val="0"/>
        <w:spacing w:line="360" w:lineRule="auto"/>
        <w:jc w:val="left"/>
        <w:rPr>
          <w:rFonts w:ascii="宋体" w:hAnsi="宋体" w:cs="宋体"/>
          <w:sz w:val="21"/>
        </w:rPr>
      </w:pPr>
      <w:r>
        <w:rPr>
          <w:rFonts w:hint="eastAsia" w:ascii="宋体" w:hAnsi="宋体" w:cs="宋体"/>
          <w:sz w:val="21"/>
        </w:rPr>
        <w:t>如由于卖方向买方提供的某种或几种规格型号的价格高于其投标时在报价单中填报的单价，或由于卖方自身原因造成货物供应合同无法按时签署，买方有权没收其履约担保，终止本合同，并且对由此给卖方造成的损失不承担任何责任。</w:t>
      </w:r>
    </w:p>
    <w:p>
      <w:pPr>
        <w:pStyle w:val="17"/>
        <w:snapToGrid w:val="0"/>
        <w:spacing w:line="360" w:lineRule="auto"/>
        <w:jc w:val="left"/>
        <w:rPr>
          <w:rFonts w:ascii="宋体" w:hAnsi="宋体" w:cs="宋体"/>
          <w:sz w:val="21"/>
        </w:rPr>
      </w:pPr>
      <w:r>
        <w:rPr>
          <w:rFonts w:hint="eastAsia" w:ascii="宋体" w:hAnsi="宋体" w:cs="宋体"/>
          <w:sz w:val="21"/>
        </w:rPr>
        <w:t>33.2在补救违约而采取的任何其他措施未能实现的情况下，即在卖方收到买方发出的违约通</w:t>
      </w:r>
    </w:p>
    <w:p>
      <w:pPr>
        <w:pStyle w:val="17"/>
        <w:snapToGrid w:val="0"/>
        <w:spacing w:line="360" w:lineRule="auto"/>
        <w:jc w:val="left"/>
        <w:rPr>
          <w:rFonts w:ascii="宋体" w:hAnsi="宋体" w:cs="宋体"/>
          <w:sz w:val="21"/>
        </w:rPr>
      </w:pPr>
      <w:r>
        <w:rPr>
          <w:rFonts w:hint="eastAsia" w:ascii="宋体" w:hAnsi="宋体" w:cs="宋体"/>
          <w:sz w:val="21"/>
        </w:rPr>
        <w:t>知后30天内(或经买方书面确认的更长时间内)仍未纠正其下述任何一种违约行为，买方可向卖方发出书面违约通知，终止全部或部分合同：</w:t>
      </w:r>
    </w:p>
    <w:p>
      <w:pPr>
        <w:pStyle w:val="17"/>
        <w:snapToGrid w:val="0"/>
        <w:spacing w:line="360" w:lineRule="auto"/>
        <w:jc w:val="left"/>
        <w:rPr>
          <w:rFonts w:ascii="宋体" w:hAnsi="宋体" w:cs="宋体"/>
          <w:sz w:val="21"/>
        </w:rPr>
      </w:pPr>
      <w:r>
        <w:rPr>
          <w:rFonts w:hint="eastAsia" w:ascii="宋体" w:hAnsi="宋体" w:cs="宋体"/>
          <w:sz w:val="21"/>
        </w:rPr>
        <w:t>(1)如果卖方未能在合同规定的期限内或买方准许的任何延期内交付部分或全部货物；</w:t>
      </w:r>
    </w:p>
    <w:p>
      <w:pPr>
        <w:pStyle w:val="17"/>
        <w:snapToGrid w:val="0"/>
        <w:spacing w:line="360" w:lineRule="auto"/>
        <w:jc w:val="left"/>
        <w:rPr>
          <w:rFonts w:ascii="宋体" w:hAnsi="宋体" w:cs="宋体"/>
          <w:sz w:val="21"/>
        </w:rPr>
      </w:pPr>
      <w:r>
        <w:rPr>
          <w:rFonts w:hint="eastAsia" w:ascii="宋体" w:hAnsi="宋体" w:cs="宋体"/>
          <w:sz w:val="21"/>
        </w:rPr>
        <w:t>(2)卖方未能履行合同项下的任何其他义务。</w:t>
      </w:r>
    </w:p>
    <w:p>
      <w:pPr>
        <w:pStyle w:val="17"/>
        <w:snapToGrid w:val="0"/>
        <w:spacing w:line="360" w:lineRule="auto"/>
        <w:jc w:val="left"/>
        <w:rPr>
          <w:rFonts w:ascii="宋体" w:hAnsi="宋体" w:cs="宋体"/>
          <w:sz w:val="21"/>
        </w:rPr>
      </w:pPr>
      <w:r>
        <w:rPr>
          <w:rFonts w:hint="eastAsia" w:ascii="宋体" w:hAnsi="宋体" w:cs="宋体"/>
          <w:sz w:val="21"/>
        </w:rPr>
        <w:t>33.3一旦买方根据第33．2或第34．1款终止部分或全部合同，买方可以按其认为适当的条件和方式采购类似未交付部分的货物和服务。卖方应承担买方购买类似货物和服务的额外费用。但是，卖方应继续履行合同中未终止的部分。</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34  因破产终止合同</w:t>
      </w:r>
    </w:p>
    <w:p>
      <w:pPr>
        <w:pStyle w:val="17"/>
        <w:snapToGrid w:val="0"/>
        <w:spacing w:line="360" w:lineRule="auto"/>
        <w:jc w:val="left"/>
        <w:rPr>
          <w:rFonts w:ascii="宋体" w:hAnsi="宋体" w:cs="宋体"/>
          <w:sz w:val="21"/>
        </w:rPr>
      </w:pPr>
      <w:r>
        <w:rPr>
          <w:rFonts w:hint="eastAsia" w:ascii="宋体" w:hAnsi="宋体" w:cs="宋体"/>
          <w:sz w:val="21"/>
        </w:rPr>
        <w:t>34.1当卖方破产或无清偿能力时，买方可在任何时候以书面通知卖方终止合同，该终止合同以不损害或影响买方已采取或将采取补救措施的任何权利为条件。</w:t>
      </w:r>
    </w:p>
    <w:p>
      <w:pPr>
        <w:adjustRightInd w:val="0"/>
        <w:snapToGrid w:val="0"/>
        <w:spacing w:beforeLines="100" w:line="360" w:lineRule="auto"/>
        <w:jc w:val="left"/>
        <w:rPr>
          <w:rFonts w:ascii="宋体" w:hAnsi="宋体" w:eastAsia="黑体" w:cs="宋体"/>
          <w:b/>
          <w:bCs/>
          <w:sz w:val="24"/>
          <w:szCs w:val="24"/>
        </w:rPr>
      </w:pPr>
      <w:r>
        <w:rPr>
          <w:rFonts w:hint="eastAsia" w:ascii="宋体" w:hAnsi="宋体" w:eastAsia="黑体" w:cs="宋体"/>
          <w:b/>
          <w:bCs/>
          <w:sz w:val="24"/>
          <w:szCs w:val="24"/>
        </w:rPr>
        <w:t>35  补充条款</w:t>
      </w:r>
    </w:p>
    <w:p>
      <w:pPr>
        <w:pStyle w:val="17"/>
        <w:snapToGrid w:val="0"/>
        <w:spacing w:line="360" w:lineRule="auto"/>
        <w:jc w:val="left"/>
        <w:rPr>
          <w:rFonts w:ascii="宋体" w:hAnsi="宋体" w:cs="宋体"/>
          <w:sz w:val="21"/>
        </w:rPr>
      </w:pPr>
      <w:r>
        <w:rPr>
          <w:rFonts w:hint="eastAsia" w:ascii="宋体" w:hAnsi="宋体" w:cs="宋体"/>
          <w:sz w:val="21"/>
        </w:rPr>
        <w:t>35.1双方根据有关法律、行政法规规定，结合工程实际，经协商一致后，可对本通用条款内容具体化、补充或修改，在专用条款内约定。</w:t>
      </w:r>
    </w:p>
    <w:p>
      <w:pPr>
        <w:pStyle w:val="17"/>
        <w:snapToGrid w:val="0"/>
        <w:spacing w:line="360" w:lineRule="auto"/>
        <w:jc w:val="left"/>
        <w:rPr>
          <w:rFonts w:ascii="宋体" w:hAnsi="宋体" w:cs="宋体"/>
          <w:sz w:val="21"/>
        </w:rPr>
      </w:pPr>
    </w:p>
    <w:p/>
    <w:p>
      <w:pPr>
        <w:sectPr>
          <w:footerReference r:id="rId7" w:type="default"/>
          <w:pgSz w:w="11906" w:h="16838"/>
          <w:pgMar w:top="1418" w:right="1588" w:bottom="1418" w:left="1588" w:header="851" w:footer="992" w:gutter="0"/>
          <w:cols w:space="720" w:num="1"/>
          <w:docGrid w:linePitch="312" w:charSpace="0"/>
        </w:sectPr>
      </w:pPr>
    </w:p>
    <w:p>
      <w:pPr>
        <w:pStyle w:val="5"/>
        <w:spacing w:before="240"/>
        <w:rPr>
          <w:rFonts w:cs="宋体"/>
        </w:rPr>
      </w:pPr>
      <w:r>
        <w:rPr>
          <w:rFonts w:hint="eastAsia"/>
        </w:rPr>
        <w:t>附件二：合同专用条款</w:t>
      </w:r>
    </w:p>
    <w:p>
      <w:pPr>
        <w:spacing w:beforeLines="100"/>
        <w:jc w:val="center"/>
        <w:rPr>
          <w:rFonts w:ascii="黑体" w:eastAsia="黑体" w:cs="黑体"/>
          <w:b/>
          <w:bCs/>
          <w:sz w:val="30"/>
          <w:szCs w:val="30"/>
        </w:rPr>
      </w:pPr>
      <w:r>
        <w:rPr>
          <w:rFonts w:hint="eastAsia" w:ascii="黑体" w:eastAsia="黑体" w:cs="黑体"/>
          <w:b/>
          <w:bCs/>
          <w:sz w:val="30"/>
          <w:szCs w:val="30"/>
        </w:rPr>
        <w:t>合同专用条款</w:t>
      </w:r>
    </w:p>
    <w:p>
      <w:pPr>
        <w:pStyle w:val="6"/>
        <w:spacing w:before="240"/>
        <w:rPr>
          <w:sz w:val="24"/>
          <w:szCs w:val="24"/>
        </w:rPr>
      </w:pPr>
      <w:r>
        <w:rPr>
          <w:rFonts w:hint="eastAsia" w:cs="宋体"/>
          <w:sz w:val="24"/>
          <w:szCs w:val="24"/>
        </w:rPr>
        <w:t>一、词语定义及合同文件</w:t>
      </w:r>
    </w:p>
    <w:p>
      <w:pPr>
        <w:adjustRightInd w:val="0"/>
        <w:snapToGrid w:val="0"/>
        <w:spacing w:beforeLines="100" w:line="360" w:lineRule="auto"/>
        <w:jc w:val="left"/>
        <w:rPr>
          <w:rFonts w:ascii="宋体" w:hAnsi="宋体" w:cs="宋体"/>
          <w:b/>
          <w:bCs/>
        </w:rPr>
      </w:pPr>
      <w:r>
        <w:rPr>
          <w:rFonts w:ascii="宋体" w:hAnsi="宋体" w:cs="宋体"/>
          <w:b/>
          <w:bCs/>
        </w:rPr>
        <w:t xml:space="preserve">1 </w:t>
      </w:r>
      <w:r>
        <w:rPr>
          <w:rFonts w:hint="eastAsia" w:ascii="宋体" w:hAnsi="宋体" w:cs="宋体"/>
          <w:b/>
          <w:bCs/>
        </w:rPr>
        <w:t>定义</w:t>
      </w:r>
    </w:p>
    <w:p>
      <w:pPr>
        <w:pStyle w:val="17"/>
        <w:snapToGrid w:val="0"/>
        <w:spacing w:line="360" w:lineRule="auto"/>
        <w:jc w:val="left"/>
        <w:rPr>
          <w:rFonts w:ascii="宋体" w:hAnsi="宋体" w:cs="宋体"/>
          <w:sz w:val="21"/>
        </w:rPr>
      </w:pPr>
      <w:r>
        <w:rPr>
          <w:rFonts w:ascii="宋体" w:hAnsi="宋体" w:cs="宋体"/>
          <w:sz w:val="21"/>
        </w:rPr>
        <w:t>1.11</w:t>
      </w:r>
      <w:r>
        <w:rPr>
          <w:rFonts w:hint="eastAsia" w:ascii="宋体" w:hAnsi="宋体" w:cs="宋体"/>
          <w:sz w:val="21"/>
        </w:rPr>
        <w:t>款末增加的内容如下：</w:t>
      </w:r>
    </w:p>
    <w:p>
      <w:pPr>
        <w:pStyle w:val="17"/>
        <w:snapToGrid w:val="0"/>
        <w:spacing w:line="360" w:lineRule="auto"/>
        <w:jc w:val="left"/>
        <w:rPr>
          <w:rFonts w:ascii="宋体" w:hAnsi="宋体" w:cs="宋体"/>
          <w:sz w:val="21"/>
        </w:rPr>
      </w:pPr>
      <w:r>
        <w:rPr>
          <w:rFonts w:hint="eastAsia" w:ascii="宋体" w:hAnsi="宋体" w:cs="宋体"/>
          <w:sz w:val="21"/>
        </w:rPr>
        <w:t>本项目的现场地点与交货地点为同一地点。</w:t>
      </w:r>
    </w:p>
    <w:p>
      <w:pPr>
        <w:pStyle w:val="6"/>
        <w:spacing w:before="240"/>
        <w:rPr>
          <w:rFonts w:cs="宋体"/>
          <w:sz w:val="24"/>
          <w:szCs w:val="24"/>
        </w:rPr>
      </w:pPr>
      <w:bookmarkStart w:id="168" w:name="_Toc317000552"/>
      <w:bookmarkStart w:id="169" w:name="_Toc268613279"/>
      <w:r>
        <w:rPr>
          <w:rFonts w:hint="eastAsia" w:cs="宋体"/>
          <w:sz w:val="24"/>
          <w:szCs w:val="24"/>
        </w:rPr>
        <w:t>二、权利和义务</w:t>
      </w:r>
      <w:bookmarkEnd w:id="168"/>
      <w:bookmarkEnd w:id="169"/>
    </w:p>
    <w:p>
      <w:pPr>
        <w:adjustRightInd w:val="0"/>
        <w:snapToGrid w:val="0"/>
        <w:spacing w:beforeLines="100" w:line="360" w:lineRule="auto"/>
        <w:jc w:val="left"/>
        <w:rPr>
          <w:rFonts w:ascii="宋体" w:hAnsi="宋体" w:cs="宋体"/>
          <w:b/>
          <w:bCs/>
        </w:rPr>
      </w:pPr>
      <w:r>
        <w:rPr>
          <w:rFonts w:hint="eastAsia" w:ascii="宋体" w:hAnsi="宋体" w:cs="宋体"/>
          <w:b/>
          <w:bCs/>
        </w:rPr>
        <w:t>8 卖方的责任和义务</w:t>
      </w:r>
    </w:p>
    <w:p>
      <w:pPr>
        <w:spacing w:line="360" w:lineRule="auto"/>
        <w:ind w:firstLine="422" w:firstLineChars="200"/>
        <w:jc w:val="left"/>
        <w:rPr>
          <w:rFonts w:ascii="宋体" w:hAnsi="宋体"/>
          <w:b/>
          <w:bCs/>
        </w:rPr>
      </w:pPr>
      <w:r>
        <w:rPr>
          <w:rFonts w:hint="eastAsia" w:ascii="宋体" w:hAnsi="宋体" w:cs="宋体"/>
          <w:b/>
          <w:bCs/>
        </w:rPr>
        <w:t>增加</w:t>
      </w:r>
      <w:r>
        <w:rPr>
          <w:rFonts w:ascii="宋体" w:hAnsi="宋体" w:cs="宋体"/>
          <w:b/>
          <w:bCs/>
        </w:rPr>
        <w:t>8.11</w:t>
      </w:r>
      <w:r>
        <w:rPr>
          <w:rFonts w:hint="eastAsia" w:ascii="宋体" w:hAnsi="宋体" w:cs="宋体"/>
          <w:b/>
          <w:bCs/>
        </w:rPr>
        <w:t>、</w:t>
      </w:r>
      <w:r>
        <w:rPr>
          <w:rFonts w:ascii="宋体" w:hAnsi="宋体" w:cs="宋体"/>
          <w:b/>
          <w:bCs/>
        </w:rPr>
        <w:t>8.12</w:t>
      </w:r>
      <w:r>
        <w:rPr>
          <w:rFonts w:hint="eastAsia" w:ascii="宋体" w:hAnsi="宋体" w:cs="宋体"/>
          <w:b/>
          <w:bCs/>
        </w:rPr>
        <w:t>款的内容如下：</w:t>
      </w:r>
    </w:p>
    <w:p>
      <w:pPr>
        <w:pStyle w:val="17"/>
        <w:snapToGrid w:val="0"/>
        <w:spacing w:line="360" w:lineRule="auto"/>
        <w:ind w:firstLine="422"/>
        <w:jc w:val="left"/>
        <w:rPr>
          <w:rFonts w:ascii="宋体" w:hAnsi="宋体" w:cs="宋体"/>
          <w:b/>
          <w:bCs/>
        </w:rPr>
      </w:pPr>
      <w:r>
        <w:rPr>
          <w:rFonts w:ascii="宋体" w:hAnsi="宋体" w:cs="宋体"/>
          <w:b/>
          <w:bCs/>
          <w:sz w:val="21"/>
        </w:rPr>
        <w:t>8.11</w:t>
      </w:r>
      <w:r>
        <w:rPr>
          <w:rFonts w:hint="eastAsia" w:ascii="宋体" w:hAnsi="宋体" w:cs="宋体"/>
          <w:sz w:val="21"/>
        </w:rPr>
        <w:t>买方在货物的制造、运输、安装、调试直至交货的全过程中，有权指派自己的代表到卖方现场进行监造，卖方应按照本合同条款第</w:t>
      </w:r>
      <w:r>
        <w:rPr>
          <w:rFonts w:ascii="宋体" w:hAnsi="宋体" w:cs="宋体"/>
          <w:sz w:val="21"/>
        </w:rPr>
        <w:t>7</w:t>
      </w:r>
      <w:r>
        <w:rPr>
          <w:rFonts w:hint="eastAsia" w:ascii="宋体" w:hAnsi="宋体" w:cs="宋体"/>
          <w:sz w:val="21"/>
        </w:rPr>
        <w:t>条的规定予以服从、配合并提供协助。</w:t>
      </w:r>
    </w:p>
    <w:p>
      <w:pPr>
        <w:pStyle w:val="17"/>
        <w:snapToGrid w:val="0"/>
        <w:spacing w:line="360" w:lineRule="auto"/>
        <w:jc w:val="left"/>
        <w:rPr>
          <w:rFonts w:ascii="宋体" w:hAnsi="宋体" w:cs="宋体"/>
          <w:bCs/>
          <w:sz w:val="21"/>
        </w:rPr>
      </w:pPr>
      <w:r>
        <w:rPr>
          <w:rFonts w:ascii="宋体" w:hAnsi="宋体" w:cs="宋体"/>
          <w:bCs/>
          <w:sz w:val="21"/>
        </w:rPr>
        <w:t>8.12</w:t>
      </w:r>
      <w:r>
        <w:rPr>
          <w:rFonts w:hint="eastAsia" w:ascii="宋体" w:hAnsi="宋体" w:cs="宋体"/>
          <w:bCs/>
          <w:sz w:val="21"/>
        </w:rPr>
        <w:t>卖方交付的货物存在质量问题，卖方按照索赔条款的约定承担责任。因此造成买方损失的，还应赔偿买方的损失。</w:t>
      </w:r>
    </w:p>
    <w:p>
      <w:pPr>
        <w:adjustRightInd w:val="0"/>
        <w:snapToGrid w:val="0"/>
        <w:spacing w:beforeLines="100" w:line="360" w:lineRule="auto"/>
        <w:jc w:val="left"/>
        <w:rPr>
          <w:rFonts w:ascii="宋体" w:hAnsi="宋体" w:cs="宋体"/>
          <w:b/>
          <w:bCs/>
        </w:rPr>
      </w:pPr>
      <w:r>
        <w:rPr>
          <w:rFonts w:hint="eastAsia" w:ascii="宋体" w:hAnsi="宋体" w:cs="宋体"/>
          <w:b/>
          <w:bCs/>
        </w:rPr>
        <w:t>9 买方的责任和义务</w:t>
      </w:r>
    </w:p>
    <w:p>
      <w:pPr>
        <w:spacing w:line="360" w:lineRule="auto"/>
        <w:ind w:firstLine="422" w:firstLineChars="200"/>
        <w:jc w:val="left"/>
        <w:rPr>
          <w:rFonts w:ascii="宋体"/>
          <w:b/>
          <w:bCs/>
        </w:rPr>
      </w:pPr>
      <w:r>
        <w:rPr>
          <w:rFonts w:ascii="宋体" w:hAnsi="宋体" w:cs="宋体"/>
          <w:b/>
          <w:bCs/>
        </w:rPr>
        <w:t>9.3</w:t>
      </w:r>
      <w:r>
        <w:rPr>
          <w:rFonts w:hint="eastAsia" w:ascii="宋体" w:hAnsi="宋体" w:cs="宋体"/>
          <w:b/>
          <w:bCs/>
        </w:rPr>
        <w:t>、9.5款的内容修改如下：</w:t>
      </w:r>
    </w:p>
    <w:p>
      <w:pPr>
        <w:pStyle w:val="17"/>
        <w:snapToGrid w:val="0"/>
        <w:spacing w:line="360" w:lineRule="auto"/>
        <w:jc w:val="left"/>
        <w:rPr>
          <w:rFonts w:ascii="宋体" w:hAnsi="宋体" w:cs="宋体"/>
          <w:bCs/>
          <w:sz w:val="21"/>
        </w:rPr>
      </w:pPr>
      <w:r>
        <w:rPr>
          <w:rFonts w:ascii="宋体" w:hAnsi="宋体" w:cs="宋体"/>
          <w:bCs/>
          <w:sz w:val="21"/>
        </w:rPr>
        <w:t>9.3</w:t>
      </w:r>
      <w:r>
        <w:rPr>
          <w:rFonts w:hint="eastAsia" w:ascii="宋体" w:hAnsi="宋体" w:cs="宋体"/>
          <w:bCs/>
          <w:sz w:val="21"/>
        </w:rPr>
        <w:t xml:space="preserve"> 买方出具质量验收合格证书，并不免除卖方对交付货物的品质担保责任。</w:t>
      </w:r>
    </w:p>
    <w:p>
      <w:pPr>
        <w:pStyle w:val="17"/>
        <w:snapToGrid w:val="0"/>
        <w:spacing w:line="360" w:lineRule="auto"/>
        <w:jc w:val="left"/>
        <w:rPr>
          <w:rFonts w:ascii="宋体" w:hAnsi="宋体" w:cs="宋体"/>
          <w:bCs/>
          <w:sz w:val="21"/>
        </w:rPr>
      </w:pPr>
      <w:r>
        <w:rPr>
          <w:rFonts w:hint="eastAsia" w:ascii="宋体" w:hAnsi="宋体" w:cs="宋体"/>
          <w:bCs/>
          <w:sz w:val="21"/>
        </w:rPr>
        <w:t>9.5 买方认可的应承担的违约责任，由买方支付相应违约金。</w:t>
      </w:r>
    </w:p>
    <w:p>
      <w:pPr>
        <w:pStyle w:val="6"/>
        <w:spacing w:before="240"/>
        <w:rPr>
          <w:rFonts w:cs="宋体"/>
          <w:sz w:val="24"/>
          <w:szCs w:val="24"/>
        </w:rPr>
      </w:pPr>
      <w:r>
        <w:rPr>
          <w:rFonts w:hint="eastAsia" w:cs="宋体"/>
          <w:sz w:val="24"/>
          <w:szCs w:val="24"/>
        </w:rPr>
        <w:t>三、合同的实施</w:t>
      </w:r>
    </w:p>
    <w:p>
      <w:pPr>
        <w:adjustRightInd w:val="0"/>
        <w:snapToGrid w:val="0"/>
        <w:spacing w:beforeLines="100" w:line="360" w:lineRule="auto"/>
        <w:jc w:val="left"/>
        <w:rPr>
          <w:rFonts w:ascii="宋体" w:hAnsi="宋体" w:cs="宋体"/>
          <w:b/>
          <w:bCs/>
        </w:rPr>
      </w:pPr>
      <w:r>
        <w:rPr>
          <w:rFonts w:hint="eastAsia" w:ascii="宋体" w:hAnsi="宋体" w:cs="宋体"/>
          <w:b/>
          <w:bCs/>
        </w:rPr>
        <w:t>10  履约保证金</w:t>
      </w:r>
    </w:p>
    <w:p>
      <w:pPr>
        <w:spacing w:line="360" w:lineRule="auto"/>
        <w:ind w:firstLine="422" w:firstLineChars="200"/>
        <w:jc w:val="left"/>
        <w:rPr>
          <w:rFonts w:ascii="宋体"/>
          <w:b/>
          <w:bCs/>
        </w:rPr>
      </w:pPr>
      <w:r>
        <w:rPr>
          <w:rFonts w:ascii="宋体" w:hAnsi="宋体" w:cs="宋体"/>
          <w:b/>
          <w:bCs/>
        </w:rPr>
        <w:t>10.3</w:t>
      </w:r>
      <w:r>
        <w:rPr>
          <w:rFonts w:hint="eastAsia" w:ascii="宋体" w:hAnsi="宋体" w:cs="宋体"/>
          <w:b/>
          <w:bCs/>
        </w:rPr>
        <w:t>款的内容修改如下：</w:t>
      </w:r>
    </w:p>
    <w:p>
      <w:pPr>
        <w:pStyle w:val="17"/>
        <w:snapToGrid w:val="0"/>
        <w:spacing w:line="360" w:lineRule="auto"/>
        <w:jc w:val="left"/>
        <w:rPr>
          <w:rFonts w:ascii="宋体"/>
        </w:rPr>
      </w:pPr>
      <w:r>
        <w:rPr>
          <w:rFonts w:ascii="宋体" w:hAnsi="宋体" w:cs="宋体"/>
          <w:sz w:val="21"/>
        </w:rPr>
        <w:t>10</w:t>
      </w:r>
      <w:r>
        <w:rPr>
          <w:rFonts w:hint="eastAsia" w:ascii="宋体" w:hAnsi="宋体" w:cs="宋体"/>
          <w:sz w:val="21"/>
        </w:rPr>
        <w:t>.</w:t>
      </w:r>
      <w:r>
        <w:rPr>
          <w:rFonts w:ascii="宋体" w:hAnsi="宋体" w:cs="宋体"/>
          <w:sz w:val="21"/>
        </w:rPr>
        <w:t>3</w:t>
      </w:r>
      <w:r>
        <w:rPr>
          <w:rFonts w:hint="eastAsia" w:ascii="宋体" w:hAnsi="宋体" w:cs="宋体"/>
          <w:sz w:val="21"/>
        </w:rPr>
        <w:t xml:space="preserve"> 如果卖方未能按照合同规定履行其义务，其应承担的违约金和赔偿金买方有权直接从履约保证金中扣除。不足部分买方可以从应付款中扣除。应付款不足的，买方有权另行主张。</w:t>
      </w:r>
    </w:p>
    <w:p>
      <w:pPr>
        <w:spacing w:line="360" w:lineRule="auto"/>
        <w:ind w:firstLine="422" w:firstLineChars="200"/>
        <w:jc w:val="left"/>
        <w:rPr>
          <w:rFonts w:ascii="宋体"/>
        </w:rPr>
      </w:pPr>
      <w:r>
        <w:rPr>
          <w:rFonts w:hint="eastAsia" w:ascii="宋体" w:hAnsi="宋体" w:cs="宋体"/>
          <w:b/>
          <w:bCs/>
        </w:rPr>
        <w:t>增加</w:t>
      </w:r>
      <w:r>
        <w:rPr>
          <w:rFonts w:ascii="宋体" w:hAnsi="宋体" w:cs="宋体"/>
          <w:b/>
          <w:bCs/>
        </w:rPr>
        <w:t>10.4</w:t>
      </w:r>
      <w:r>
        <w:rPr>
          <w:rFonts w:hint="eastAsia" w:ascii="宋体" w:hAnsi="宋体" w:cs="宋体"/>
          <w:b/>
          <w:bCs/>
        </w:rPr>
        <w:t>款的内容修改如下：</w:t>
      </w:r>
    </w:p>
    <w:p>
      <w:pPr>
        <w:pStyle w:val="17"/>
        <w:snapToGrid w:val="0"/>
        <w:spacing w:line="360" w:lineRule="auto"/>
        <w:jc w:val="left"/>
        <w:rPr>
          <w:rFonts w:ascii="宋体" w:hAnsi="宋体" w:cs="宋体"/>
          <w:sz w:val="21"/>
        </w:rPr>
      </w:pPr>
      <w:r>
        <w:rPr>
          <w:rFonts w:ascii="宋体" w:hAnsi="宋体" w:cs="宋体"/>
          <w:sz w:val="21"/>
        </w:rPr>
        <w:t xml:space="preserve">10.4 </w:t>
      </w:r>
      <w:r>
        <w:rPr>
          <w:rFonts w:hint="eastAsia" w:ascii="宋体" w:hAnsi="宋体" w:cs="宋体"/>
          <w:sz w:val="21"/>
        </w:rPr>
        <w:t>履约保证金在卖方合同义务履行完毕或合同解除后，买方在扣除卖方应承担的违约金和赔偿金（如有）后无息返还卖方。</w:t>
      </w:r>
    </w:p>
    <w:p>
      <w:pPr>
        <w:adjustRightInd w:val="0"/>
        <w:snapToGrid w:val="0"/>
        <w:spacing w:beforeLines="100" w:line="360" w:lineRule="auto"/>
        <w:jc w:val="left"/>
        <w:rPr>
          <w:rFonts w:ascii="宋体" w:hAnsi="宋体" w:cs="宋体"/>
          <w:b/>
          <w:bCs/>
        </w:rPr>
      </w:pPr>
      <w:r>
        <w:rPr>
          <w:rFonts w:ascii="宋体" w:hAnsi="宋体" w:cs="宋体"/>
          <w:b/>
          <w:bCs/>
        </w:rPr>
        <w:t xml:space="preserve">15 </w:t>
      </w:r>
      <w:r>
        <w:rPr>
          <w:rFonts w:hint="eastAsia" w:ascii="宋体" w:hAnsi="宋体" w:cs="宋体"/>
          <w:b/>
          <w:bCs/>
        </w:rPr>
        <w:t>现场服务</w:t>
      </w:r>
    </w:p>
    <w:p>
      <w:pPr>
        <w:spacing w:line="360" w:lineRule="auto"/>
        <w:ind w:firstLine="422" w:firstLineChars="200"/>
        <w:jc w:val="left"/>
        <w:rPr>
          <w:rFonts w:ascii="黑体" w:eastAsia="黑体"/>
          <w:sz w:val="24"/>
          <w:szCs w:val="24"/>
        </w:rPr>
      </w:pPr>
      <w:r>
        <w:rPr>
          <w:rFonts w:hint="eastAsia" w:ascii="宋体" w:hAnsi="宋体" w:cs="宋体"/>
          <w:b/>
          <w:bCs/>
        </w:rPr>
        <w:t>增加15.3款内容如下：</w:t>
      </w:r>
    </w:p>
    <w:p>
      <w:pPr>
        <w:pStyle w:val="17"/>
        <w:snapToGrid w:val="0"/>
        <w:spacing w:line="360" w:lineRule="auto"/>
        <w:jc w:val="left"/>
        <w:rPr>
          <w:rFonts w:ascii="宋体" w:hAnsi="宋体" w:cs="宋体"/>
          <w:sz w:val="21"/>
        </w:rPr>
      </w:pPr>
      <w:r>
        <w:rPr>
          <w:rFonts w:ascii="宋体" w:hAnsi="宋体" w:cs="宋体"/>
          <w:sz w:val="21"/>
        </w:rPr>
        <w:t>15.3</w:t>
      </w:r>
      <w:r>
        <w:rPr>
          <w:rFonts w:hint="eastAsia" w:ascii="宋体" w:hAnsi="宋体" w:cs="宋体"/>
          <w:sz w:val="21"/>
        </w:rPr>
        <w:t xml:space="preserve"> 设备运至现场后，卖方应负责进行必要的设备安装、调试和运行指导、并按买方要求进行人员培训，培训合格人员由厂家颁发操作证书。</w:t>
      </w:r>
    </w:p>
    <w:p>
      <w:pPr>
        <w:pStyle w:val="6"/>
        <w:spacing w:beforeLines="50"/>
        <w:rPr>
          <w:rFonts w:cs="宋体"/>
          <w:sz w:val="24"/>
          <w:szCs w:val="24"/>
        </w:rPr>
      </w:pPr>
      <w:bookmarkStart w:id="170" w:name="_Toc317000554"/>
      <w:bookmarkStart w:id="171" w:name="_Toc268613281"/>
      <w:r>
        <w:rPr>
          <w:rFonts w:hint="eastAsia" w:cs="宋体"/>
          <w:sz w:val="24"/>
          <w:szCs w:val="24"/>
        </w:rPr>
        <w:t>四、质量与责任</w:t>
      </w:r>
      <w:bookmarkEnd w:id="170"/>
      <w:bookmarkEnd w:id="171"/>
    </w:p>
    <w:p>
      <w:pPr>
        <w:adjustRightInd w:val="0"/>
        <w:snapToGrid w:val="0"/>
        <w:spacing w:beforeLines="100" w:line="360" w:lineRule="auto"/>
        <w:jc w:val="left"/>
        <w:rPr>
          <w:rFonts w:ascii="宋体" w:hAnsi="宋体" w:cs="宋体"/>
          <w:b/>
          <w:bCs/>
        </w:rPr>
      </w:pPr>
      <w:r>
        <w:rPr>
          <w:rFonts w:hint="eastAsia" w:ascii="宋体" w:hAnsi="宋体" w:cs="宋体"/>
          <w:b/>
          <w:bCs/>
        </w:rPr>
        <w:t>16 质量与责任</w:t>
      </w:r>
    </w:p>
    <w:p>
      <w:pPr>
        <w:spacing w:line="360" w:lineRule="auto"/>
        <w:ind w:firstLine="422" w:firstLineChars="200"/>
        <w:jc w:val="left"/>
        <w:rPr>
          <w:rFonts w:ascii="宋体" w:hAnsi="宋体" w:cs="宋体"/>
          <w:b/>
        </w:rPr>
      </w:pPr>
      <w:r>
        <w:rPr>
          <w:rFonts w:hint="eastAsia" w:ascii="宋体" w:hAnsi="宋体" w:cs="宋体"/>
          <w:b/>
          <w:bCs/>
        </w:rPr>
        <w:t>增加</w:t>
      </w:r>
      <w:r>
        <w:rPr>
          <w:rFonts w:ascii="宋体" w:hAnsi="宋体" w:cs="宋体"/>
          <w:b/>
          <w:bCs/>
        </w:rPr>
        <w:t>16.6</w:t>
      </w:r>
      <w:r>
        <w:rPr>
          <w:rFonts w:hint="eastAsia" w:ascii="宋体" w:hAnsi="宋体" w:cs="宋体"/>
          <w:b/>
          <w:bCs/>
        </w:rPr>
        <w:t>款内容如下：</w:t>
      </w:r>
    </w:p>
    <w:p>
      <w:pPr>
        <w:pStyle w:val="17"/>
        <w:snapToGrid w:val="0"/>
        <w:spacing w:line="360" w:lineRule="auto"/>
        <w:ind w:firstLine="422"/>
        <w:jc w:val="left"/>
        <w:rPr>
          <w:rFonts w:ascii="宋体" w:hAnsi="宋体" w:cs="宋体"/>
          <w:b/>
          <w:bCs/>
          <w:sz w:val="21"/>
          <w:u w:val="single"/>
        </w:rPr>
      </w:pPr>
      <w:r>
        <w:rPr>
          <w:rFonts w:ascii="宋体" w:hAnsi="宋体" w:cs="宋体"/>
          <w:b/>
          <w:bCs/>
          <w:sz w:val="21"/>
        </w:rPr>
        <w:t xml:space="preserve">16.6.1 </w:t>
      </w:r>
      <w:r>
        <w:rPr>
          <w:rFonts w:hint="eastAsia" w:ascii="宋体" w:hAnsi="宋体" w:cs="宋体"/>
          <w:b/>
          <w:bCs/>
          <w:sz w:val="21"/>
          <w:u w:val="single"/>
        </w:rPr>
        <w:t>卖方供货产品中如有返修品、旧产品、次品或山寨产品等不是全新产品的货物，除退货外，还要处以该设备投标价格（合价）三倍金额的罚款。</w:t>
      </w:r>
    </w:p>
    <w:p>
      <w:pPr>
        <w:pStyle w:val="17"/>
        <w:snapToGrid w:val="0"/>
        <w:spacing w:line="360" w:lineRule="auto"/>
        <w:ind w:firstLine="422"/>
        <w:jc w:val="left"/>
        <w:rPr>
          <w:rFonts w:ascii="宋体" w:hAnsi="宋体" w:cs="宋体"/>
          <w:b/>
          <w:bCs/>
          <w:sz w:val="21"/>
        </w:rPr>
      </w:pPr>
      <w:r>
        <w:rPr>
          <w:rFonts w:ascii="宋体" w:hAnsi="宋体" w:cs="宋体"/>
          <w:b/>
          <w:sz w:val="21"/>
        </w:rPr>
        <w:t xml:space="preserve">16.6.2 </w:t>
      </w:r>
      <w:r>
        <w:rPr>
          <w:rFonts w:hint="eastAsia" w:ascii="宋体" w:hAnsi="宋体" w:cs="宋体"/>
          <w:b/>
          <w:sz w:val="21"/>
        </w:rPr>
        <w:t>合同设备由卖方运抵至买方指定场所后，买卖双方在共同完成了对合同设备数量核对、完整完好性检查、整机性能验证，随机资料文件、随机备件、随机工具的核对和交付，以及完成对买方人员的操作、维护技术培训，并证明合同设备的全部内容、全部技术性能等都符合买卖双方签署的买卖合同要求后，并通过特种设备的首次检验，双方进行合同设备的</w:t>
      </w:r>
      <w:r>
        <w:rPr>
          <w:rFonts w:ascii="宋体" w:hAnsi="宋体" w:cs="宋体"/>
          <w:b/>
          <w:sz w:val="21"/>
        </w:rPr>
        <w:t>"交钥匙"验收文件的签署。</w:t>
      </w:r>
      <w:r>
        <w:rPr>
          <w:rFonts w:hint="eastAsia" w:ascii="宋体" w:hAnsi="宋体" w:cs="宋体"/>
          <w:b/>
          <w:sz w:val="21"/>
        </w:rPr>
        <w:t>若卖方提供的设备不能通过验收，发现的质量问题一律由卖方承担。</w:t>
      </w:r>
    </w:p>
    <w:p>
      <w:pPr>
        <w:pStyle w:val="6"/>
        <w:spacing w:before="240"/>
        <w:rPr>
          <w:rFonts w:cs="宋体"/>
          <w:sz w:val="24"/>
          <w:szCs w:val="24"/>
        </w:rPr>
      </w:pPr>
      <w:bookmarkStart w:id="172" w:name="_Toc268613282"/>
      <w:bookmarkStart w:id="173" w:name="_Toc317000555"/>
      <w:r>
        <w:rPr>
          <w:rFonts w:hint="eastAsia" w:cs="宋体"/>
          <w:sz w:val="24"/>
          <w:szCs w:val="24"/>
        </w:rPr>
        <w:t>五、合同价款与支付</w:t>
      </w:r>
      <w:bookmarkEnd w:id="172"/>
      <w:bookmarkEnd w:id="173"/>
    </w:p>
    <w:p>
      <w:pPr>
        <w:adjustRightInd w:val="0"/>
        <w:snapToGrid w:val="0"/>
        <w:spacing w:beforeLines="100" w:line="360" w:lineRule="auto"/>
        <w:jc w:val="left"/>
        <w:rPr>
          <w:rFonts w:ascii="宋体" w:hAnsi="宋体" w:cs="宋体"/>
          <w:b/>
          <w:bCs/>
        </w:rPr>
      </w:pPr>
      <w:r>
        <w:rPr>
          <w:rFonts w:hint="eastAsia" w:ascii="宋体" w:hAnsi="宋体" w:cs="宋体"/>
          <w:b/>
          <w:bCs/>
        </w:rPr>
        <w:t>17 合同价格</w:t>
      </w:r>
    </w:p>
    <w:p>
      <w:pPr>
        <w:spacing w:line="360" w:lineRule="auto"/>
        <w:ind w:firstLine="422" w:firstLineChars="200"/>
        <w:jc w:val="left"/>
        <w:rPr>
          <w:rFonts w:hAnsi="宋体" w:cs="宋体"/>
        </w:rPr>
      </w:pPr>
      <w:r>
        <w:rPr>
          <w:rFonts w:hint="eastAsia" w:ascii="宋体" w:hAnsi="宋体" w:cs="宋体"/>
          <w:b/>
          <w:bCs/>
        </w:rPr>
        <w:t>本条修改为：</w:t>
      </w:r>
    </w:p>
    <w:p>
      <w:pPr>
        <w:pStyle w:val="17"/>
        <w:snapToGrid w:val="0"/>
        <w:spacing w:line="360" w:lineRule="auto"/>
        <w:jc w:val="left"/>
        <w:rPr>
          <w:rFonts w:ascii="宋体" w:hAnsi="宋体" w:cs="宋体"/>
        </w:rPr>
      </w:pPr>
      <w:r>
        <w:rPr>
          <w:rFonts w:ascii="宋体" w:hAnsi="宋体" w:cs="宋体"/>
          <w:sz w:val="21"/>
        </w:rPr>
        <w:t>17.1</w:t>
      </w:r>
      <w:r>
        <w:rPr>
          <w:rFonts w:hint="eastAsia" w:ascii="宋体" w:hAnsi="宋体" w:cs="宋体"/>
          <w:sz w:val="21"/>
        </w:rPr>
        <w:t xml:space="preserve"> 本项目包括设备的设计、制造、运输、安装调试、技术服务和质量保证期服务等，合同价格包括了招标文件中合同范围、技术规格书确定的货物的制造前准备、制造、提供备件、包装、运输、保险、装卸、仓储保管、向政府机构报检、质量保证期及合同文件所要求的其他配套服务等全过程产生的所有成本和费用以及一切税费。</w:t>
      </w:r>
    </w:p>
    <w:p>
      <w:pPr>
        <w:pStyle w:val="17"/>
        <w:snapToGrid w:val="0"/>
        <w:spacing w:line="360" w:lineRule="auto"/>
        <w:jc w:val="left"/>
        <w:rPr>
          <w:rFonts w:ascii="宋体" w:hAnsi="宋体" w:cs="宋体"/>
        </w:rPr>
      </w:pPr>
      <w:r>
        <w:rPr>
          <w:rFonts w:ascii="宋体" w:hAnsi="宋体" w:cs="宋体"/>
          <w:sz w:val="21"/>
        </w:rPr>
        <w:t xml:space="preserve">17.2 </w:t>
      </w:r>
      <w:r>
        <w:rPr>
          <w:rFonts w:hint="eastAsia" w:ascii="宋体" w:hAnsi="宋体" w:cs="宋体"/>
          <w:sz w:val="21"/>
        </w:rPr>
        <w:t>应当认为卖方已经彻底查清，并在合同价格中充分考虑到了以下因素：</w:t>
      </w:r>
    </w:p>
    <w:p>
      <w:pPr>
        <w:pStyle w:val="17"/>
        <w:snapToGrid w:val="0"/>
        <w:spacing w:line="360" w:lineRule="auto"/>
        <w:ind w:left="630" w:leftChars="300"/>
        <w:jc w:val="left"/>
        <w:rPr>
          <w:rFonts w:ascii="宋体" w:hAnsi="宋体" w:cs="宋体"/>
        </w:rPr>
      </w:pPr>
      <w:r>
        <w:rPr>
          <w:rFonts w:hint="eastAsia" w:ascii="宋体" w:hAnsi="宋体" w:cs="宋体"/>
          <w:sz w:val="21"/>
        </w:rPr>
        <w:t>(1) 影响到合同价的全部条件和情况；</w:t>
      </w:r>
    </w:p>
    <w:p>
      <w:pPr>
        <w:pStyle w:val="17"/>
        <w:snapToGrid w:val="0"/>
        <w:spacing w:line="360" w:lineRule="auto"/>
        <w:ind w:left="630" w:leftChars="300"/>
        <w:jc w:val="left"/>
        <w:rPr>
          <w:rFonts w:ascii="宋体" w:hAnsi="宋体" w:cs="宋体"/>
        </w:rPr>
      </w:pPr>
      <w:r>
        <w:rPr>
          <w:rFonts w:hint="eastAsia" w:ascii="宋体" w:hAnsi="宋体" w:cs="宋体"/>
          <w:sz w:val="21"/>
        </w:rPr>
        <w:t>(2) 完成合同所述工程的所有可能性；</w:t>
      </w:r>
    </w:p>
    <w:p>
      <w:pPr>
        <w:pStyle w:val="17"/>
        <w:snapToGrid w:val="0"/>
        <w:spacing w:line="360" w:lineRule="auto"/>
        <w:ind w:left="630" w:leftChars="300"/>
        <w:jc w:val="left"/>
        <w:rPr>
          <w:rFonts w:ascii="宋体" w:hAnsi="宋体" w:cs="宋体"/>
        </w:rPr>
      </w:pPr>
      <w:r>
        <w:rPr>
          <w:rFonts w:hint="eastAsia" w:ascii="宋体" w:hAnsi="宋体" w:cs="宋体"/>
          <w:sz w:val="21"/>
        </w:rPr>
        <w:t>(3) 现场的综合情况；</w:t>
      </w:r>
    </w:p>
    <w:p>
      <w:pPr>
        <w:pStyle w:val="17"/>
        <w:snapToGrid w:val="0"/>
        <w:spacing w:line="360" w:lineRule="auto"/>
        <w:ind w:left="630" w:leftChars="300"/>
        <w:jc w:val="left"/>
        <w:rPr>
          <w:rFonts w:ascii="宋体" w:hAnsi="宋体" w:cs="宋体"/>
        </w:rPr>
      </w:pPr>
      <w:r>
        <w:rPr>
          <w:rFonts w:hint="eastAsia" w:ascii="宋体" w:hAnsi="宋体" w:cs="宋体"/>
          <w:sz w:val="21"/>
        </w:rPr>
        <w:t>(4) 现场总的劳务情况；</w:t>
      </w:r>
    </w:p>
    <w:p>
      <w:pPr>
        <w:pStyle w:val="17"/>
        <w:snapToGrid w:val="0"/>
        <w:spacing w:line="360" w:lineRule="auto"/>
        <w:ind w:left="630" w:leftChars="300"/>
        <w:jc w:val="left"/>
        <w:rPr>
          <w:rFonts w:ascii="宋体" w:hAnsi="宋体" w:cs="宋体"/>
        </w:rPr>
      </w:pPr>
      <w:r>
        <w:rPr>
          <w:rFonts w:hint="eastAsia" w:ascii="宋体" w:hAnsi="宋体" w:cs="宋体"/>
          <w:sz w:val="21"/>
        </w:rPr>
        <w:t>(5) 材料或设备价格上涨、政策性调整等一切因素。</w:t>
      </w:r>
    </w:p>
    <w:p>
      <w:pPr>
        <w:pStyle w:val="17"/>
        <w:snapToGrid w:val="0"/>
        <w:spacing w:line="360" w:lineRule="auto"/>
        <w:jc w:val="left"/>
        <w:rPr>
          <w:rFonts w:ascii="宋体"/>
        </w:rPr>
      </w:pPr>
      <w:r>
        <w:rPr>
          <w:rFonts w:ascii="宋体" w:hAnsi="宋体" w:cs="宋体"/>
          <w:sz w:val="21"/>
        </w:rPr>
        <w:t>17.3</w:t>
      </w:r>
      <w:r>
        <w:rPr>
          <w:rFonts w:hint="eastAsia" w:ascii="宋体" w:hAnsi="宋体" w:cs="宋体"/>
          <w:sz w:val="21"/>
        </w:rPr>
        <w:t xml:space="preserve"> 应当认为卖方已经彻底理解了买方的意图、理解了技术规格书的全部内容，在投标阶段报价时，已充分考虑了合同明示或暗示的所有责任、义务和一般风险，并已将这部分费用包含在投标报价中。合同实施阶段，合同价格一概不予调整。</w:t>
      </w:r>
    </w:p>
    <w:p>
      <w:pPr>
        <w:adjustRightInd w:val="0"/>
        <w:snapToGrid w:val="0"/>
        <w:spacing w:beforeLines="100" w:line="360" w:lineRule="auto"/>
        <w:jc w:val="left"/>
        <w:rPr>
          <w:rFonts w:ascii="宋体" w:hAnsi="宋体" w:cs="宋体"/>
          <w:b/>
          <w:bCs/>
        </w:rPr>
      </w:pPr>
      <w:r>
        <w:rPr>
          <w:rFonts w:hint="eastAsia" w:ascii="宋体" w:hAnsi="宋体" w:cs="宋体"/>
          <w:b/>
          <w:bCs/>
        </w:rPr>
        <w:t>20 货款支付</w:t>
      </w:r>
    </w:p>
    <w:p>
      <w:pPr>
        <w:spacing w:line="360" w:lineRule="auto"/>
        <w:ind w:firstLine="482" w:firstLineChars="200"/>
        <w:jc w:val="left"/>
        <w:rPr>
          <w:rFonts w:ascii="黑体" w:eastAsia="黑体"/>
          <w:sz w:val="24"/>
          <w:szCs w:val="24"/>
        </w:rPr>
      </w:pPr>
      <w:r>
        <w:rPr>
          <w:rFonts w:hint="eastAsia" w:ascii="宋体" w:hAnsi="宋体" w:eastAsia="黑体" w:cs="宋体"/>
          <w:b/>
          <w:bCs/>
          <w:sz w:val="24"/>
          <w:szCs w:val="24"/>
        </w:rPr>
        <w:t>本条内容全部修改为：</w:t>
      </w:r>
    </w:p>
    <w:p>
      <w:pPr>
        <w:pStyle w:val="17"/>
        <w:snapToGrid w:val="0"/>
        <w:spacing w:line="360" w:lineRule="auto"/>
        <w:jc w:val="left"/>
        <w:rPr>
          <w:rFonts w:ascii="宋体" w:hAnsi="宋体" w:cs="宋体"/>
          <w:sz w:val="21"/>
        </w:rPr>
      </w:pPr>
      <w:r>
        <w:rPr>
          <w:rFonts w:hint="eastAsia" w:ascii="宋体" w:hAnsi="宋体" w:cs="宋体"/>
          <w:sz w:val="21"/>
        </w:rPr>
        <w:t>买卖双方在完成验收文件签署后的60</w:t>
      </w:r>
      <w:r>
        <w:rPr>
          <w:rFonts w:ascii="宋体" w:hAnsi="宋体" w:cs="宋体"/>
          <w:sz w:val="21"/>
        </w:rPr>
        <w:t>个</w:t>
      </w:r>
      <w:r>
        <w:rPr>
          <w:rFonts w:hint="eastAsia" w:ascii="宋体" w:hAnsi="宋体" w:cs="宋体"/>
          <w:sz w:val="21"/>
        </w:rPr>
        <w:t>日历日</w:t>
      </w:r>
      <w:r>
        <w:rPr>
          <w:rFonts w:ascii="宋体" w:hAnsi="宋体" w:cs="宋体"/>
          <w:sz w:val="21"/>
        </w:rPr>
        <w:t>内，买方向卖方支付至合同总价的</w:t>
      </w:r>
      <w:r>
        <w:rPr>
          <w:rFonts w:hint="eastAsia" w:ascii="宋体" w:hAnsi="宋体" w:cs="宋体"/>
          <w:sz w:val="21"/>
        </w:rPr>
        <w:t>97</w:t>
      </w:r>
      <w:r>
        <w:rPr>
          <w:rFonts w:ascii="宋体" w:hAnsi="宋体" w:cs="宋体"/>
          <w:sz w:val="21"/>
        </w:rPr>
        <w:t>%，</w:t>
      </w:r>
      <w:r>
        <w:rPr>
          <w:rFonts w:hint="eastAsia" w:ascii="宋体" w:hAnsi="宋体" w:cs="宋体"/>
          <w:sz w:val="21"/>
        </w:rPr>
        <w:t>余款3%作为质量保证金，在质保期满后30个工作日内支付。</w:t>
      </w:r>
    </w:p>
    <w:p>
      <w:pPr>
        <w:pStyle w:val="17"/>
        <w:snapToGrid w:val="0"/>
        <w:spacing w:line="360" w:lineRule="auto"/>
        <w:ind w:firstLine="422"/>
        <w:jc w:val="left"/>
        <w:rPr>
          <w:rFonts w:ascii="宋体" w:hAnsi="宋体" w:cs="宋体"/>
          <w:b/>
          <w:sz w:val="21"/>
          <w:highlight w:val="yellow"/>
        </w:rPr>
      </w:pPr>
      <w:r>
        <w:rPr>
          <w:rFonts w:hint="eastAsia" w:ascii="宋体" w:hAnsi="宋体" w:cs="宋体"/>
          <w:b/>
          <w:sz w:val="21"/>
          <w:highlight w:val="yellow"/>
        </w:rPr>
        <w:t>注：每次付款前，卖方须按买方要求提供全额增值税专用发票及相关资料，质量保留金支付前，卖方须按买方要求提供等额收据。</w:t>
      </w:r>
    </w:p>
    <w:p>
      <w:pPr>
        <w:pStyle w:val="6"/>
        <w:spacing w:before="240"/>
        <w:rPr>
          <w:rFonts w:cs="宋体"/>
          <w:sz w:val="24"/>
          <w:szCs w:val="24"/>
        </w:rPr>
      </w:pPr>
      <w:bookmarkStart w:id="174" w:name="_Toc268613283"/>
      <w:bookmarkStart w:id="175" w:name="_Toc317000556"/>
      <w:bookmarkStart w:id="176" w:name="_Toc78100450"/>
      <w:bookmarkStart w:id="177" w:name="_Toc74134445"/>
      <w:r>
        <w:rPr>
          <w:rFonts w:hint="eastAsia" w:cs="宋体"/>
          <w:sz w:val="24"/>
          <w:szCs w:val="24"/>
        </w:rPr>
        <w:t>六、合同要素的变更</w:t>
      </w:r>
      <w:bookmarkEnd w:id="174"/>
      <w:bookmarkEnd w:id="175"/>
    </w:p>
    <w:bookmarkEnd w:id="176"/>
    <w:bookmarkEnd w:id="177"/>
    <w:p>
      <w:pPr>
        <w:adjustRightInd w:val="0"/>
        <w:snapToGrid w:val="0"/>
        <w:spacing w:beforeLines="100" w:line="360" w:lineRule="auto"/>
        <w:jc w:val="left"/>
        <w:rPr>
          <w:rFonts w:ascii="宋体" w:hAnsi="宋体" w:cs="宋体"/>
          <w:b/>
          <w:bCs/>
        </w:rPr>
      </w:pPr>
      <w:r>
        <w:rPr>
          <w:rFonts w:hint="eastAsia" w:ascii="宋体" w:hAnsi="宋体" w:cs="宋体"/>
          <w:b/>
          <w:bCs/>
        </w:rPr>
        <w:t>21 变更指令</w:t>
      </w:r>
    </w:p>
    <w:p>
      <w:pPr>
        <w:spacing w:line="360" w:lineRule="auto"/>
        <w:ind w:firstLine="422" w:firstLineChars="200"/>
        <w:jc w:val="left"/>
      </w:pPr>
      <w:r>
        <w:rPr>
          <w:rFonts w:hint="eastAsia" w:ascii="宋体" w:hAnsi="宋体" w:cs="宋体"/>
          <w:b/>
          <w:bCs/>
        </w:rPr>
        <w:t>删除原第</w:t>
      </w:r>
      <w:r>
        <w:rPr>
          <w:rFonts w:ascii="宋体" w:hAnsi="宋体" w:cs="宋体"/>
          <w:b/>
          <w:bCs/>
        </w:rPr>
        <w:t>21.2</w:t>
      </w:r>
      <w:r>
        <w:rPr>
          <w:rFonts w:hint="eastAsia" w:ascii="宋体" w:hAnsi="宋体" w:cs="宋体"/>
          <w:b/>
          <w:bCs/>
        </w:rPr>
        <w:t>款的内容，代之以下内容：</w:t>
      </w:r>
    </w:p>
    <w:p>
      <w:pPr>
        <w:pStyle w:val="17"/>
        <w:snapToGrid w:val="0"/>
        <w:spacing w:line="360" w:lineRule="auto"/>
        <w:jc w:val="left"/>
        <w:rPr>
          <w:rFonts w:ascii="宋体"/>
        </w:rPr>
      </w:pPr>
      <w:r>
        <w:rPr>
          <w:rFonts w:ascii="宋体" w:hAnsi="宋体" w:cs="宋体"/>
          <w:sz w:val="21"/>
        </w:rPr>
        <w:t>21.2</w:t>
      </w:r>
      <w:r>
        <w:rPr>
          <w:rFonts w:hint="eastAsia" w:ascii="宋体" w:hAnsi="宋体" w:cs="宋体"/>
          <w:sz w:val="21"/>
        </w:rPr>
        <w:t>买方有权根据需要确定本次招标货物的具体交货地点，但不调整中标单价；也有权调整为上述范围之外的交货地点，并仅调整两地之间的运费差额。</w:t>
      </w:r>
    </w:p>
    <w:p>
      <w:pPr>
        <w:pStyle w:val="6"/>
        <w:spacing w:beforeLines="50"/>
        <w:rPr>
          <w:rFonts w:cs="宋体"/>
          <w:sz w:val="24"/>
          <w:szCs w:val="24"/>
        </w:rPr>
      </w:pPr>
      <w:r>
        <w:rPr>
          <w:rFonts w:hint="eastAsia" w:cs="宋体"/>
          <w:sz w:val="24"/>
          <w:szCs w:val="24"/>
        </w:rPr>
        <w:t>七、延期交货、索赔和争议</w:t>
      </w:r>
    </w:p>
    <w:p>
      <w:pPr>
        <w:adjustRightInd w:val="0"/>
        <w:snapToGrid w:val="0"/>
        <w:spacing w:beforeLines="100" w:line="360" w:lineRule="auto"/>
        <w:jc w:val="left"/>
        <w:rPr>
          <w:rFonts w:ascii="宋体" w:hAnsi="宋体" w:cs="宋体"/>
          <w:b/>
          <w:bCs/>
        </w:rPr>
      </w:pPr>
      <w:r>
        <w:rPr>
          <w:rFonts w:hint="eastAsia" w:ascii="宋体" w:hAnsi="宋体" w:cs="宋体"/>
          <w:b/>
          <w:bCs/>
        </w:rPr>
        <w:t>24 卖方履约延误和误期赔偿费</w:t>
      </w:r>
    </w:p>
    <w:p>
      <w:pPr>
        <w:spacing w:line="360" w:lineRule="auto"/>
        <w:ind w:firstLine="422" w:firstLineChars="200"/>
        <w:jc w:val="left"/>
        <w:rPr>
          <w:rFonts w:ascii="宋体"/>
          <w:b/>
          <w:bCs/>
        </w:rPr>
      </w:pPr>
      <w:r>
        <w:rPr>
          <w:rFonts w:ascii="宋体" w:hAnsi="宋体" w:cs="宋体"/>
          <w:b/>
          <w:bCs/>
        </w:rPr>
        <w:t>24.1</w:t>
      </w:r>
      <w:r>
        <w:rPr>
          <w:rFonts w:hint="eastAsia" w:ascii="宋体" w:hAnsi="宋体" w:cs="宋体"/>
          <w:b/>
          <w:bCs/>
        </w:rPr>
        <w:t>、</w:t>
      </w:r>
      <w:r>
        <w:rPr>
          <w:rFonts w:ascii="宋体" w:hAnsi="宋体" w:cs="宋体"/>
          <w:b/>
          <w:bCs/>
        </w:rPr>
        <w:t>24.2</w:t>
      </w:r>
      <w:r>
        <w:rPr>
          <w:rFonts w:hint="eastAsia" w:ascii="宋体" w:hAnsi="宋体" w:cs="宋体"/>
          <w:b/>
          <w:bCs/>
        </w:rPr>
        <w:t>款的内容修改如下：</w:t>
      </w:r>
    </w:p>
    <w:p>
      <w:pPr>
        <w:pStyle w:val="17"/>
        <w:snapToGrid w:val="0"/>
        <w:spacing w:line="360" w:lineRule="auto"/>
        <w:jc w:val="left"/>
        <w:rPr>
          <w:rFonts w:ascii="宋体" w:hAnsi="宋体" w:cs="宋体"/>
        </w:rPr>
      </w:pPr>
      <w:r>
        <w:rPr>
          <w:rFonts w:ascii="宋体" w:hAnsi="宋体" w:cs="宋体"/>
          <w:sz w:val="21"/>
        </w:rPr>
        <w:t>24</w:t>
      </w:r>
      <w:r>
        <w:rPr>
          <w:rFonts w:hint="eastAsia" w:ascii="宋体" w:hAnsi="宋体" w:cs="宋体"/>
          <w:sz w:val="21"/>
        </w:rPr>
        <w:t>.</w:t>
      </w:r>
      <w:r>
        <w:rPr>
          <w:rFonts w:ascii="宋体" w:hAnsi="宋体" w:cs="宋体"/>
          <w:sz w:val="21"/>
        </w:rPr>
        <w:t>1</w:t>
      </w:r>
      <w:r>
        <w:rPr>
          <w:rFonts w:hint="eastAsia" w:ascii="宋体" w:hAnsi="宋体" w:cs="宋体"/>
          <w:sz w:val="21"/>
        </w:rPr>
        <w:t xml:space="preserve"> 在履行合同过程中，如果卖方遇到妨碍按时交货和提供服务的情况时，应及时以书面形式将拖延的事实、可能拖延的时间和原因通知买方。以便买方尽快对情况进行评价，并作相应调整。但无论何种原因导致交货延误，卖方应按合同约定承担违约责任。</w:t>
      </w:r>
    </w:p>
    <w:p>
      <w:pPr>
        <w:pStyle w:val="17"/>
        <w:snapToGrid w:val="0"/>
        <w:spacing w:line="360" w:lineRule="auto"/>
        <w:jc w:val="left"/>
        <w:rPr>
          <w:rFonts w:ascii="宋体" w:hAnsi="宋体" w:cs="宋体"/>
          <w:sz w:val="21"/>
        </w:rPr>
      </w:pPr>
      <w:r>
        <w:rPr>
          <w:rFonts w:ascii="宋体" w:hAnsi="宋体" w:cs="宋体"/>
          <w:sz w:val="21"/>
        </w:rPr>
        <w:t>24.2</w:t>
      </w:r>
      <w:r>
        <w:rPr>
          <w:rFonts w:hint="eastAsia" w:ascii="宋体" w:hAnsi="宋体" w:cs="宋体"/>
          <w:sz w:val="21"/>
        </w:rPr>
        <w:t xml:space="preserve"> 如果卖方未能按合同规定的时间按期交货和提供服务</w:t>
      </w:r>
      <w:r>
        <w:rPr>
          <w:rFonts w:ascii="宋体" w:hAnsi="宋体" w:cs="宋体"/>
          <w:sz w:val="21"/>
        </w:rPr>
        <w:t>(</w:t>
      </w:r>
      <w:r>
        <w:rPr>
          <w:rFonts w:hint="eastAsia" w:ascii="宋体" w:hAnsi="宋体" w:cs="宋体"/>
          <w:sz w:val="21"/>
        </w:rPr>
        <w:t>本合同第</w:t>
      </w:r>
      <w:r>
        <w:rPr>
          <w:rFonts w:ascii="宋体" w:hAnsi="宋体" w:cs="宋体"/>
          <w:sz w:val="21"/>
        </w:rPr>
        <w:t>30</w:t>
      </w:r>
      <w:r>
        <w:rPr>
          <w:rFonts w:hint="eastAsia" w:ascii="宋体" w:hAnsi="宋体" w:cs="宋体"/>
          <w:sz w:val="21"/>
        </w:rPr>
        <w:t>条规定的不可抗力除外</w:t>
      </w:r>
      <w:r>
        <w:rPr>
          <w:rFonts w:ascii="宋体" w:hAnsi="宋体" w:cs="宋体"/>
          <w:sz w:val="21"/>
        </w:rPr>
        <w:t>)</w:t>
      </w:r>
      <w:r>
        <w:rPr>
          <w:rFonts w:hint="eastAsia" w:ascii="宋体" w:hAnsi="宋体" w:cs="宋体"/>
          <w:sz w:val="21"/>
        </w:rPr>
        <w:t>，承担延期交货损失赔偿金。每延误</w:t>
      </w:r>
      <w:r>
        <w:rPr>
          <w:rFonts w:ascii="宋体" w:hAnsi="宋体" w:cs="宋体"/>
          <w:sz w:val="21"/>
        </w:rPr>
        <w:t>7</w:t>
      </w:r>
      <w:r>
        <w:rPr>
          <w:rFonts w:hint="eastAsia" w:ascii="宋体" w:hAnsi="宋体" w:cs="宋体"/>
          <w:sz w:val="21"/>
        </w:rPr>
        <w:t>天（一周），按合同总价的1</w:t>
      </w:r>
      <w:r>
        <w:rPr>
          <w:rFonts w:ascii="宋体" w:hAnsi="宋体" w:cs="宋体"/>
          <w:sz w:val="21"/>
        </w:rPr>
        <w:t>%</w:t>
      </w:r>
      <w:r>
        <w:rPr>
          <w:rFonts w:hint="eastAsia" w:ascii="宋体" w:hAnsi="宋体" w:cs="宋体"/>
          <w:sz w:val="21"/>
        </w:rPr>
        <w:t>计收延期交货损失赔偿金，</w:t>
      </w:r>
      <w:r>
        <w:rPr>
          <w:rFonts w:ascii="宋体" w:hAnsi="宋体" w:cs="宋体"/>
          <w:sz w:val="21"/>
        </w:rPr>
        <w:t>(</w:t>
      </w:r>
      <w:r>
        <w:rPr>
          <w:rFonts w:hint="eastAsia" w:ascii="宋体" w:hAnsi="宋体" w:cs="宋体"/>
          <w:sz w:val="21"/>
        </w:rPr>
        <w:t>不满</w:t>
      </w:r>
      <w:r>
        <w:rPr>
          <w:rFonts w:ascii="宋体" w:hAnsi="宋体" w:cs="宋体"/>
          <w:sz w:val="21"/>
        </w:rPr>
        <w:t>7</w:t>
      </w:r>
      <w:r>
        <w:rPr>
          <w:rFonts w:hint="eastAsia" w:ascii="宋体" w:hAnsi="宋体" w:cs="宋体"/>
          <w:sz w:val="21"/>
        </w:rPr>
        <w:t>天按</w:t>
      </w:r>
      <w:r>
        <w:rPr>
          <w:rFonts w:ascii="宋体" w:hAnsi="宋体" w:cs="宋体"/>
          <w:sz w:val="21"/>
        </w:rPr>
        <w:t>7</w:t>
      </w:r>
      <w:r>
        <w:rPr>
          <w:rFonts w:hint="eastAsia" w:ascii="宋体" w:hAnsi="宋体" w:cs="宋体"/>
          <w:sz w:val="21"/>
        </w:rPr>
        <w:t>天计算</w:t>
      </w:r>
      <w:r>
        <w:rPr>
          <w:rFonts w:ascii="宋体" w:hAnsi="宋体" w:cs="宋体"/>
          <w:sz w:val="21"/>
        </w:rPr>
        <w:t>)</w:t>
      </w:r>
      <w:r>
        <w:rPr>
          <w:rFonts w:hint="eastAsia" w:ascii="宋体" w:hAnsi="宋体" w:cs="宋体"/>
          <w:sz w:val="21"/>
        </w:rPr>
        <w:t>，直至交付合格货物或提供服务为止。延期交货损失赔偿金由买方从履约保证金中直接扣除。如延期交货时间超过十周，买方有权提出终止合同，若买方未提出终止合同，则延期交货损失赔偿金仍应继续计算，直至买方提出终止合同；约定损失赔偿金不足以弥补买方实际损失的，卖方应继续予以补足。</w:t>
      </w:r>
    </w:p>
    <w:p>
      <w:pPr>
        <w:adjustRightInd w:val="0"/>
        <w:snapToGrid w:val="0"/>
        <w:spacing w:beforeLines="100" w:line="360" w:lineRule="auto"/>
        <w:jc w:val="left"/>
        <w:rPr>
          <w:rFonts w:ascii="宋体" w:hAnsi="宋体" w:cs="宋体"/>
          <w:b/>
          <w:bCs/>
        </w:rPr>
      </w:pPr>
      <w:r>
        <w:rPr>
          <w:rFonts w:hint="eastAsia" w:ascii="宋体" w:hAnsi="宋体" w:cs="宋体"/>
          <w:b/>
          <w:bCs/>
        </w:rPr>
        <w:t>25 争议</w:t>
      </w:r>
    </w:p>
    <w:p>
      <w:pPr>
        <w:pStyle w:val="17"/>
        <w:snapToGrid w:val="0"/>
        <w:spacing w:line="360" w:lineRule="auto"/>
        <w:jc w:val="left"/>
        <w:rPr>
          <w:rFonts w:ascii="宋体" w:hAnsi="宋体" w:cs="宋体"/>
        </w:rPr>
      </w:pPr>
      <w:r>
        <w:rPr>
          <w:rFonts w:hint="eastAsia" w:ascii="宋体" w:hAnsi="宋体" w:cs="宋体"/>
          <w:sz w:val="21"/>
        </w:rPr>
        <w:t>2</w:t>
      </w:r>
      <w:r>
        <w:rPr>
          <w:rFonts w:ascii="宋体" w:hAnsi="宋体" w:cs="宋体"/>
          <w:sz w:val="21"/>
        </w:rPr>
        <w:t xml:space="preserve">5.1 </w:t>
      </w:r>
      <w:r>
        <w:rPr>
          <w:rFonts w:hint="eastAsia" w:ascii="宋体" w:hAnsi="宋体" w:cs="宋体"/>
          <w:sz w:val="21"/>
        </w:rPr>
        <w:t>买方、卖方在履行合同时发生争议，可以和解或者要求有关主管部门调解。当事人不愿和解、调解或者和解、调解不成的，双方在买方南通人民法院提起诉讼。</w:t>
      </w:r>
    </w:p>
    <w:p>
      <w:pPr>
        <w:adjustRightInd w:val="0"/>
        <w:snapToGrid w:val="0"/>
        <w:spacing w:beforeLines="100" w:line="360" w:lineRule="auto"/>
        <w:jc w:val="left"/>
        <w:rPr>
          <w:rFonts w:ascii="宋体" w:hAnsi="宋体" w:cs="宋体"/>
          <w:b/>
          <w:bCs/>
        </w:rPr>
      </w:pPr>
      <w:r>
        <w:rPr>
          <w:rFonts w:hint="eastAsia" w:ascii="宋体" w:hAnsi="宋体" w:cs="宋体"/>
          <w:b/>
          <w:bCs/>
        </w:rPr>
        <w:t>26 索赔</w:t>
      </w:r>
    </w:p>
    <w:p>
      <w:pPr>
        <w:pStyle w:val="17"/>
        <w:snapToGrid w:val="0"/>
        <w:spacing w:line="360" w:lineRule="auto"/>
        <w:jc w:val="left"/>
        <w:rPr>
          <w:rFonts w:ascii="宋体" w:hAnsi="宋体" w:cs="宋体"/>
          <w:sz w:val="21"/>
        </w:rPr>
      </w:pPr>
      <w:r>
        <w:rPr>
          <w:rFonts w:hint="eastAsia" w:ascii="宋体" w:hAnsi="宋体" w:cs="宋体"/>
          <w:sz w:val="21"/>
        </w:rPr>
        <w:t>在</w:t>
      </w:r>
      <w:r>
        <w:rPr>
          <w:rFonts w:ascii="宋体" w:hAnsi="宋体" w:cs="宋体"/>
          <w:sz w:val="21"/>
        </w:rPr>
        <w:t>26.1</w:t>
      </w:r>
      <w:r>
        <w:rPr>
          <w:rFonts w:hint="eastAsia" w:ascii="宋体" w:hAnsi="宋体" w:cs="宋体"/>
          <w:sz w:val="21"/>
        </w:rPr>
        <w:t>（</w:t>
      </w:r>
      <w:r>
        <w:rPr>
          <w:rFonts w:ascii="宋体" w:hAnsi="宋体" w:cs="宋体"/>
          <w:sz w:val="21"/>
        </w:rPr>
        <w:t>1</w:t>
      </w:r>
      <w:r>
        <w:rPr>
          <w:rFonts w:hint="eastAsia" w:ascii="宋体" w:hAnsi="宋体" w:cs="宋体"/>
          <w:sz w:val="21"/>
        </w:rPr>
        <w:t>）和（</w:t>
      </w:r>
      <w:r>
        <w:rPr>
          <w:rFonts w:ascii="宋体" w:hAnsi="宋体" w:cs="宋体"/>
          <w:sz w:val="21"/>
        </w:rPr>
        <w:t>3</w:t>
      </w:r>
      <w:r>
        <w:rPr>
          <w:rFonts w:hint="eastAsia" w:ascii="宋体" w:hAnsi="宋体" w:cs="宋体"/>
          <w:sz w:val="21"/>
        </w:rPr>
        <w:t>）后分别增加：卖方并应承担延期交货损失赔偿金。</w:t>
      </w:r>
    </w:p>
    <w:p>
      <w:pPr>
        <w:pStyle w:val="6"/>
        <w:spacing w:beforeLines="50"/>
        <w:rPr>
          <w:rFonts w:cs="宋体"/>
          <w:sz w:val="24"/>
          <w:szCs w:val="24"/>
        </w:rPr>
      </w:pPr>
      <w:r>
        <w:rPr>
          <w:rFonts w:hint="eastAsia" w:cs="宋体"/>
          <w:sz w:val="24"/>
          <w:szCs w:val="24"/>
        </w:rPr>
        <w:t>九、其他</w:t>
      </w:r>
    </w:p>
    <w:p>
      <w:pPr>
        <w:adjustRightInd w:val="0"/>
        <w:snapToGrid w:val="0"/>
        <w:spacing w:beforeLines="100" w:line="360" w:lineRule="auto"/>
        <w:jc w:val="left"/>
        <w:rPr>
          <w:rFonts w:ascii="宋体" w:hAnsi="宋体" w:cs="宋体"/>
          <w:b/>
          <w:bCs/>
        </w:rPr>
      </w:pPr>
      <w:r>
        <w:rPr>
          <w:rFonts w:hint="eastAsia" w:ascii="宋体" w:hAnsi="宋体" w:cs="宋体"/>
          <w:b/>
          <w:bCs/>
        </w:rPr>
        <w:t>30 不可抗力</w:t>
      </w:r>
    </w:p>
    <w:p>
      <w:pPr>
        <w:pStyle w:val="17"/>
        <w:snapToGrid w:val="0"/>
        <w:spacing w:line="360" w:lineRule="auto"/>
        <w:jc w:val="left"/>
        <w:rPr>
          <w:rFonts w:ascii="宋体" w:hAnsi="宋体" w:cs="宋体"/>
          <w:sz w:val="21"/>
        </w:rPr>
      </w:pPr>
      <w:r>
        <w:rPr>
          <w:rFonts w:hint="eastAsia" w:ascii="宋体" w:hAnsi="宋体" w:cs="宋体"/>
          <w:sz w:val="21"/>
        </w:rPr>
        <w:t>30.2 文末增加：如果不可抗力事件造成卖方不能履行合同持续超过十周，买方有权解除撤消合同且不承担任何违约责任。</w:t>
      </w:r>
    </w:p>
    <w:p>
      <w:pPr>
        <w:adjustRightInd w:val="0"/>
        <w:snapToGrid w:val="0"/>
        <w:spacing w:beforeLines="100" w:line="360" w:lineRule="auto"/>
        <w:jc w:val="left"/>
        <w:rPr>
          <w:rFonts w:ascii="宋体" w:hAnsi="宋体" w:cs="宋体"/>
          <w:b/>
          <w:bCs/>
        </w:rPr>
      </w:pPr>
      <w:r>
        <w:rPr>
          <w:rFonts w:ascii="宋体" w:hAnsi="宋体" w:cs="宋体"/>
          <w:b/>
          <w:bCs/>
        </w:rPr>
        <w:t xml:space="preserve">31 </w:t>
      </w:r>
      <w:r>
        <w:rPr>
          <w:rFonts w:hint="eastAsia" w:ascii="宋体" w:hAnsi="宋体" w:cs="宋体"/>
          <w:b/>
          <w:bCs/>
        </w:rPr>
        <w:t>质量保证期</w:t>
      </w:r>
    </w:p>
    <w:p>
      <w:pPr>
        <w:pStyle w:val="17"/>
        <w:snapToGrid w:val="0"/>
        <w:spacing w:line="360" w:lineRule="auto"/>
        <w:jc w:val="left"/>
        <w:rPr>
          <w:rFonts w:ascii="宋体" w:hAnsi="宋体" w:cs="宋体"/>
        </w:rPr>
      </w:pPr>
      <w:r>
        <w:rPr>
          <w:rFonts w:ascii="宋体" w:hAnsi="宋体" w:cs="宋体"/>
          <w:sz w:val="21"/>
        </w:rPr>
        <w:t>31.1</w:t>
      </w:r>
      <w:r>
        <w:rPr>
          <w:rFonts w:hint="eastAsia" w:ascii="宋体" w:hAnsi="宋体" w:cs="宋体"/>
          <w:sz w:val="21"/>
        </w:rPr>
        <w:t>修改为：货物的质量保证期在合同专用条款资料表中指明，从使用本合同项下采购货物的设备投产之日起算。在质量保证期内，货物如发生自然损坏，除不可抗拒的原因之外，供货单位应承担提供更换的货物的费用。</w:t>
      </w:r>
    </w:p>
    <w:p>
      <w:pPr>
        <w:pStyle w:val="17"/>
        <w:snapToGrid w:val="0"/>
        <w:spacing w:line="360" w:lineRule="auto"/>
        <w:jc w:val="left"/>
        <w:rPr>
          <w:rFonts w:ascii="宋体"/>
        </w:rPr>
      </w:pPr>
      <w:r>
        <w:rPr>
          <w:rFonts w:hint="eastAsia" w:ascii="宋体" w:hAnsi="宋体" w:cs="宋体"/>
          <w:sz w:val="21"/>
        </w:rPr>
        <w:t>在国家对货物规定的合理使用年限内，卖方应确保货物的质量达到相关要求，因货物质量原因在货物合理使用年限内造成的人身和财产损害的，卖方应承担相关赔偿责任。货物如在质量保证期外发生故障或者需要返修，更换等，卖方有义务接受买方的委托和要求，在收到通知七日内到达现场进行相关的返修，更换等，非卖方货物质量原因引起的相关返修，更换等费用由买方承担。</w:t>
      </w:r>
    </w:p>
    <w:p>
      <w:pPr>
        <w:adjustRightInd w:val="0"/>
        <w:snapToGrid w:val="0"/>
        <w:spacing w:beforeLines="100" w:line="360" w:lineRule="auto"/>
        <w:jc w:val="left"/>
        <w:rPr>
          <w:rFonts w:ascii="宋体" w:hAnsi="宋体" w:cs="宋体"/>
          <w:b/>
          <w:bCs/>
        </w:rPr>
      </w:pPr>
      <w:r>
        <w:rPr>
          <w:rFonts w:ascii="宋体" w:hAnsi="宋体" w:cs="宋体"/>
          <w:b/>
          <w:bCs/>
        </w:rPr>
        <w:t xml:space="preserve">33 </w:t>
      </w:r>
      <w:r>
        <w:rPr>
          <w:rFonts w:hint="eastAsia" w:ascii="宋体" w:hAnsi="宋体" w:cs="宋体"/>
          <w:b/>
          <w:bCs/>
        </w:rPr>
        <w:t>违约终止合同</w:t>
      </w:r>
    </w:p>
    <w:p>
      <w:pPr>
        <w:pStyle w:val="17"/>
        <w:snapToGrid w:val="0"/>
        <w:spacing w:line="360" w:lineRule="auto"/>
        <w:ind w:firstLine="422"/>
        <w:jc w:val="left"/>
        <w:rPr>
          <w:rFonts w:ascii="宋体" w:hAnsi="宋体" w:cs="宋体"/>
          <w:b/>
        </w:rPr>
      </w:pPr>
      <w:r>
        <w:rPr>
          <w:rFonts w:hint="eastAsia" w:ascii="宋体" w:hAnsi="宋体" w:cs="宋体"/>
          <w:b/>
          <w:sz w:val="21"/>
        </w:rPr>
        <w:t>修改为：</w:t>
      </w:r>
    </w:p>
    <w:p>
      <w:pPr>
        <w:pStyle w:val="17"/>
        <w:snapToGrid w:val="0"/>
        <w:spacing w:line="360" w:lineRule="auto"/>
        <w:jc w:val="left"/>
        <w:rPr>
          <w:rFonts w:ascii="宋体" w:hAnsi="宋体" w:cs="宋体"/>
        </w:rPr>
      </w:pPr>
      <w:r>
        <w:rPr>
          <w:rFonts w:ascii="宋体" w:hAnsi="宋体" w:cs="宋体"/>
          <w:sz w:val="21"/>
        </w:rPr>
        <w:t>33.1.1</w:t>
      </w:r>
      <w:r>
        <w:rPr>
          <w:rFonts w:hint="eastAsia" w:ascii="宋体" w:hAnsi="宋体" w:cs="宋体"/>
          <w:sz w:val="21"/>
        </w:rPr>
        <w:t>卖方不能交货或不能完成合同，卖方将支付给买方合同总价</w:t>
      </w:r>
      <w:r>
        <w:rPr>
          <w:rFonts w:ascii="宋体" w:hAnsi="宋体" w:cs="宋体"/>
          <w:b/>
          <w:bCs/>
          <w:sz w:val="21"/>
        </w:rPr>
        <w:t>10</w:t>
      </w:r>
      <w:r>
        <w:rPr>
          <w:rFonts w:hint="eastAsia" w:ascii="宋体" w:hAnsi="宋体" w:cs="宋体"/>
          <w:sz w:val="21"/>
        </w:rPr>
        <w:t>％的款（或买方罚没卖方的履约保证金），以此作为卖方给买方造成损失的赔偿。出现下列三种类型行为，将按卖方不能交货或不能完成合同处理，同时买方有权拒收合同设备或终止合同：</w:t>
      </w:r>
    </w:p>
    <w:p>
      <w:pPr>
        <w:pStyle w:val="17"/>
        <w:snapToGrid w:val="0"/>
        <w:spacing w:line="360" w:lineRule="auto"/>
        <w:jc w:val="left"/>
        <w:rPr>
          <w:rFonts w:ascii="宋体" w:hAnsi="宋体" w:cs="宋体"/>
        </w:rPr>
      </w:pPr>
      <w:r>
        <w:rPr>
          <w:rFonts w:ascii="宋体" w:hAnsi="宋体" w:cs="宋体"/>
          <w:sz w:val="21"/>
        </w:rPr>
        <w:t xml:space="preserve">(1) </w:t>
      </w:r>
      <w:r>
        <w:rPr>
          <w:rFonts w:hint="eastAsia" w:ascii="宋体" w:hAnsi="宋体" w:cs="宋体"/>
          <w:sz w:val="21"/>
        </w:rPr>
        <w:t>卖方未按合同规定或提供的货物未达到相关证明材料所述质量要求的；</w:t>
      </w:r>
    </w:p>
    <w:p>
      <w:pPr>
        <w:pStyle w:val="17"/>
        <w:snapToGrid w:val="0"/>
        <w:spacing w:line="360" w:lineRule="auto"/>
        <w:jc w:val="left"/>
        <w:rPr>
          <w:rFonts w:ascii="宋体" w:hAnsi="宋体" w:cs="宋体"/>
        </w:rPr>
      </w:pPr>
      <w:r>
        <w:rPr>
          <w:rFonts w:ascii="宋体" w:hAnsi="宋体" w:cs="宋体"/>
          <w:sz w:val="21"/>
        </w:rPr>
        <w:t xml:space="preserve">(2) </w:t>
      </w:r>
      <w:r>
        <w:rPr>
          <w:rFonts w:hint="eastAsia" w:ascii="宋体" w:hAnsi="宋体" w:cs="宋体"/>
          <w:sz w:val="21"/>
        </w:rPr>
        <w:t>合同货物的制造、安装、检验未经买方同意而分包给投标文件中明确的生产商以外的单位的；</w:t>
      </w:r>
    </w:p>
    <w:p>
      <w:pPr>
        <w:pStyle w:val="17"/>
        <w:snapToGrid w:val="0"/>
        <w:spacing w:line="360" w:lineRule="auto"/>
        <w:jc w:val="left"/>
        <w:rPr>
          <w:rFonts w:ascii="宋体" w:hAnsi="宋体" w:cs="宋体"/>
        </w:rPr>
      </w:pPr>
      <w:r>
        <w:rPr>
          <w:rFonts w:ascii="宋体" w:hAnsi="宋体" w:cs="宋体"/>
          <w:sz w:val="21"/>
        </w:rPr>
        <w:t xml:space="preserve">(3) </w:t>
      </w:r>
      <w:r>
        <w:rPr>
          <w:rFonts w:hint="eastAsia" w:ascii="宋体" w:hAnsi="宋体" w:cs="宋体"/>
          <w:sz w:val="21"/>
        </w:rPr>
        <w:t>逾期交货超过合同约定期限十周，买方提出终止合同的。</w:t>
      </w:r>
    </w:p>
    <w:p>
      <w:pPr>
        <w:spacing w:line="360" w:lineRule="auto"/>
        <w:ind w:firstLine="422" w:firstLineChars="200"/>
        <w:jc w:val="left"/>
        <w:rPr>
          <w:rFonts w:ascii="宋体" w:hAnsi="宋体" w:cs="宋体"/>
          <w:b/>
          <w:bCs/>
        </w:rPr>
      </w:pPr>
      <w:bookmarkStart w:id="178" w:name="_Toc170209440"/>
      <w:bookmarkStart w:id="179" w:name="_Toc170588158"/>
      <w:bookmarkStart w:id="180" w:name="_Toc171762331"/>
      <w:bookmarkStart w:id="181" w:name="_Toc356823354"/>
      <w:bookmarkStart w:id="182" w:name="_Toc173055863"/>
      <w:bookmarkStart w:id="183" w:name="_Toc257126665"/>
      <w:bookmarkStart w:id="184" w:name="_Toc174419656"/>
      <w:r>
        <w:rPr>
          <w:rFonts w:ascii="宋体" w:hAnsi="宋体" w:cs="宋体"/>
          <w:b/>
          <w:bCs/>
        </w:rPr>
        <w:t xml:space="preserve">33.2 </w:t>
      </w:r>
      <w:r>
        <w:rPr>
          <w:rFonts w:hint="eastAsia" w:ascii="宋体" w:hAnsi="宋体" w:cs="宋体"/>
          <w:b/>
          <w:bCs/>
        </w:rPr>
        <w:t xml:space="preserve"> 买方违约责任</w:t>
      </w:r>
      <w:bookmarkEnd w:id="178"/>
      <w:bookmarkEnd w:id="179"/>
      <w:bookmarkEnd w:id="180"/>
      <w:bookmarkEnd w:id="181"/>
      <w:bookmarkEnd w:id="182"/>
      <w:bookmarkEnd w:id="183"/>
      <w:bookmarkEnd w:id="184"/>
    </w:p>
    <w:p>
      <w:pPr>
        <w:pStyle w:val="17"/>
        <w:snapToGrid w:val="0"/>
        <w:spacing w:line="360" w:lineRule="auto"/>
        <w:jc w:val="left"/>
        <w:rPr>
          <w:rFonts w:ascii="宋体" w:hAnsi="宋体" w:cs="宋体"/>
        </w:rPr>
      </w:pPr>
      <w:r>
        <w:rPr>
          <w:rFonts w:ascii="宋体" w:hAnsi="宋体" w:cs="宋体"/>
          <w:sz w:val="21"/>
        </w:rPr>
        <w:t xml:space="preserve">33.2.1 </w:t>
      </w:r>
      <w:r>
        <w:rPr>
          <w:rFonts w:hint="eastAsia" w:ascii="宋体" w:hAnsi="宋体" w:cs="宋体"/>
          <w:sz w:val="21"/>
        </w:rPr>
        <w:t>因买方自身原因，买方中途废止合同，买方将支付给卖方合同总价</w:t>
      </w:r>
      <w:r>
        <w:rPr>
          <w:rFonts w:ascii="宋体" w:hAnsi="宋体" w:cs="宋体"/>
          <w:sz w:val="21"/>
        </w:rPr>
        <w:t>10</w:t>
      </w:r>
      <w:r>
        <w:rPr>
          <w:rFonts w:hint="eastAsia" w:ascii="宋体" w:hAnsi="宋体" w:cs="宋体"/>
          <w:sz w:val="21"/>
        </w:rPr>
        <w:t>％的款，以此作为买方给卖方造成损失的赔偿。</w:t>
      </w:r>
    </w:p>
    <w:p>
      <w:pPr>
        <w:pStyle w:val="17"/>
        <w:snapToGrid w:val="0"/>
        <w:spacing w:line="360" w:lineRule="auto"/>
        <w:jc w:val="left"/>
        <w:rPr>
          <w:rFonts w:ascii="宋体" w:hAnsi="宋体" w:cs="宋体"/>
        </w:rPr>
      </w:pPr>
      <w:r>
        <w:rPr>
          <w:rFonts w:ascii="宋体" w:hAnsi="宋体" w:cs="宋体"/>
          <w:sz w:val="21"/>
        </w:rPr>
        <w:t xml:space="preserve">33.2.2 </w:t>
      </w:r>
      <w:r>
        <w:rPr>
          <w:rFonts w:hint="eastAsia" w:ascii="宋体" w:hAnsi="宋体" w:cs="宋体"/>
          <w:sz w:val="21"/>
        </w:rPr>
        <w:t>买方未按合同要求逾期付款超过</w:t>
      </w:r>
      <w:r>
        <w:rPr>
          <w:rFonts w:ascii="宋体" w:hAnsi="宋体" w:cs="宋体"/>
          <w:sz w:val="21"/>
        </w:rPr>
        <w:t>60</w:t>
      </w:r>
      <w:r>
        <w:rPr>
          <w:rFonts w:hint="eastAsia" w:ascii="宋体" w:hAnsi="宋体" w:cs="宋体"/>
          <w:sz w:val="21"/>
        </w:rPr>
        <w:t>天，买方应向卖方支付逾期付款违约金，每逾期一周按合同价格的</w:t>
      </w:r>
      <w:r>
        <w:rPr>
          <w:rFonts w:ascii="宋体" w:hAnsi="宋体" w:cs="宋体"/>
          <w:sz w:val="21"/>
        </w:rPr>
        <w:t>0.5%</w:t>
      </w:r>
      <w:r>
        <w:rPr>
          <w:rFonts w:hint="eastAsia" w:ascii="宋体" w:hAnsi="宋体" w:cs="宋体"/>
          <w:sz w:val="21"/>
        </w:rPr>
        <w:t>偿付逾期付款违约金，不足一周按一周计算，逾期付款违约金上限不超过合同总价的</w:t>
      </w:r>
      <w:r>
        <w:rPr>
          <w:rFonts w:ascii="宋体" w:hAnsi="宋体" w:cs="宋体"/>
          <w:sz w:val="21"/>
        </w:rPr>
        <w:t>10</w:t>
      </w:r>
      <w:r>
        <w:rPr>
          <w:rFonts w:hint="eastAsia" w:ascii="宋体" w:hAnsi="宋体" w:cs="宋体"/>
          <w:sz w:val="21"/>
        </w:rPr>
        <w:t>％。</w:t>
      </w:r>
    </w:p>
    <w:p>
      <w:pPr>
        <w:adjustRightInd w:val="0"/>
        <w:snapToGrid w:val="0"/>
        <w:spacing w:beforeLines="100" w:line="360" w:lineRule="auto"/>
        <w:jc w:val="left"/>
        <w:rPr>
          <w:rFonts w:ascii="宋体" w:hAnsi="宋体" w:cs="宋体"/>
          <w:b/>
          <w:bCs/>
        </w:rPr>
      </w:pPr>
      <w:r>
        <w:rPr>
          <w:rFonts w:ascii="宋体" w:hAnsi="宋体" w:cs="宋体"/>
          <w:b/>
          <w:bCs/>
        </w:rPr>
        <w:t xml:space="preserve">35 </w:t>
      </w:r>
      <w:r>
        <w:rPr>
          <w:rFonts w:hint="eastAsia" w:ascii="宋体" w:hAnsi="宋体" w:cs="宋体"/>
          <w:b/>
          <w:bCs/>
        </w:rPr>
        <w:t>补充条款</w:t>
      </w:r>
    </w:p>
    <w:p>
      <w:pPr>
        <w:spacing w:line="360" w:lineRule="auto"/>
        <w:ind w:firstLine="422" w:firstLineChars="200"/>
        <w:jc w:val="left"/>
        <w:rPr>
          <w:rFonts w:ascii="宋体" w:hAnsi="宋体"/>
          <w:lang w:val="en-GB"/>
        </w:rPr>
      </w:pPr>
      <w:r>
        <w:rPr>
          <w:rFonts w:hint="eastAsia" w:ascii="宋体" w:hAnsi="宋体" w:cs="宋体"/>
          <w:b/>
          <w:bCs/>
        </w:rPr>
        <w:t>增加</w:t>
      </w:r>
      <w:r>
        <w:rPr>
          <w:rFonts w:ascii="宋体" w:hAnsi="宋体" w:cs="宋体"/>
          <w:b/>
          <w:bCs/>
        </w:rPr>
        <w:t>35.2</w:t>
      </w:r>
      <w:r>
        <w:rPr>
          <w:rFonts w:hint="eastAsia" w:ascii="宋体" w:hAnsi="宋体" w:cs="宋体"/>
          <w:b/>
          <w:bCs/>
        </w:rPr>
        <w:t>、</w:t>
      </w:r>
      <w:r>
        <w:rPr>
          <w:rFonts w:ascii="宋体" w:hAnsi="宋体" w:cs="宋体"/>
          <w:b/>
          <w:bCs/>
        </w:rPr>
        <w:t>35.3</w:t>
      </w:r>
      <w:r>
        <w:rPr>
          <w:rFonts w:hint="eastAsia" w:ascii="宋体" w:hAnsi="宋体" w:cs="宋体"/>
          <w:b/>
          <w:bCs/>
        </w:rPr>
        <w:t>款内容如下：</w:t>
      </w:r>
    </w:p>
    <w:p>
      <w:pPr>
        <w:spacing w:line="360" w:lineRule="auto"/>
        <w:ind w:firstLine="422" w:firstLineChars="200"/>
        <w:jc w:val="left"/>
        <w:rPr>
          <w:rFonts w:ascii="宋体" w:hAnsi="宋体" w:cs="宋体"/>
          <w:b/>
          <w:bCs/>
        </w:rPr>
      </w:pPr>
      <w:r>
        <w:rPr>
          <w:rFonts w:ascii="宋体" w:hAnsi="宋体" w:cs="宋体"/>
          <w:b/>
          <w:bCs/>
        </w:rPr>
        <w:t>35.2</w:t>
      </w:r>
      <w:r>
        <w:rPr>
          <w:rFonts w:hint="eastAsia" w:ascii="宋体" w:hAnsi="宋体" w:cs="宋体"/>
          <w:b/>
          <w:bCs/>
        </w:rPr>
        <w:t xml:space="preserve"> 验收标准</w:t>
      </w:r>
    </w:p>
    <w:p>
      <w:pPr>
        <w:pStyle w:val="17"/>
        <w:snapToGrid w:val="0"/>
        <w:spacing w:line="360" w:lineRule="auto"/>
        <w:jc w:val="left"/>
        <w:rPr>
          <w:rFonts w:ascii="宋体" w:hAnsi="宋体" w:cs="宋体"/>
          <w:lang w:val="en-GB"/>
        </w:rPr>
      </w:pPr>
      <w:r>
        <w:rPr>
          <w:rFonts w:ascii="宋体" w:hAnsi="宋体" w:cs="宋体"/>
          <w:bCs/>
          <w:sz w:val="21"/>
          <w:lang w:val="en-GB"/>
        </w:rPr>
        <w:t>35.2.1</w:t>
      </w:r>
      <w:r>
        <w:rPr>
          <w:rFonts w:hint="eastAsia" w:ascii="宋体" w:hAnsi="宋体" w:cs="宋体"/>
          <w:bCs/>
          <w:sz w:val="21"/>
          <w:lang w:val="en-GB"/>
        </w:rPr>
        <w:t xml:space="preserve"> 卖方提供设备的制造标准、安装标准及技术规范等有关资料必须符合国家相应的有关标准、规范要求。</w:t>
      </w:r>
    </w:p>
    <w:p>
      <w:pPr>
        <w:pStyle w:val="17"/>
        <w:snapToGrid w:val="0"/>
        <w:spacing w:line="360" w:lineRule="auto"/>
        <w:jc w:val="left"/>
        <w:rPr>
          <w:rFonts w:ascii="宋体" w:hAnsi="宋体" w:cs="宋体"/>
          <w:lang w:val="en-GB"/>
        </w:rPr>
      </w:pPr>
      <w:r>
        <w:rPr>
          <w:rFonts w:ascii="宋体" w:hAnsi="宋体" w:cs="宋体"/>
          <w:bCs/>
          <w:sz w:val="21"/>
          <w:lang w:val="en-GB"/>
        </w:rPr>
        <w:t>35.2.2</w:t>
      </w:r>
      <w:r>
        <w:rPr>
          <w:rFonts w:hint="eastAsia" w:ascii="宋体" w:hAnsi="宋体" w:cs="宋体"/>
          <w:bCs/>
          <w:sz w:val="21"/>
          <w:lang w:val="en-GB"/>
        </w:rPr>
        <w:t xml:space="preserve"> 买方根据招标文件、卖方的投标文件、合同、制造厂商的产品验收标准及中华人民共和国有关标准进行验收。</w:t>
      </w:r>
    </w:p>
    <w:p>
      <w:pPr>
        <w:pStyle w:val="17"/>
        <w:snapToGrid w:val="0"/>
        <w:spacing w:line="360" w:lineRule="auto"/>
        <w:jc w:val="left"/>
        <w:rPr>
          <w:rFonts w:ascii="宋体" w:hAnsi="宋体" w:cs="宋体"/>
          <w:lang w:val="en-GB"/>
        </w:rPr>
      </w:pPr>
      <w:r>
        <w:rPr>
          <w:rFonts w:ascii="宋体" w:hAnsi="宋体" w:cs="宋体"/>
          <w:bCs/>
          <w:sz w:val="21"/>
          <w:lang w:val="en-GB"/>
        </w:rPr>
        <w:t>35.2.3</w:t>
      </w:r>
      <w:r>
        <w:rPr>
          <w:rFonts w:hint="eastAsia" w:ascii="宋体" w:hAnsi="宋体" w:cs="宋体"/>
          <w:bCs/>
          <w:sz w:val="21"/>
          <w:lang w:val="en-GB"/>
        </w:rPr>
        <w:t xml:space="preserve"> 卖方应提供货物生产商的出厂检验报告、合格证书、装箱单，进口货物须提供报关凭证等手续。</w:t>
      </w:r>
    </w:p>
    <w:p>
      <w:pPr>
        <w:pStyle w:val="17"/>
        <w:snapToGrid w:val="0"/>
        <w:spacing w:line="360" w:lineRule="auto"/>
        <w:jc w:val="left"/>
        <w:rPr>
          <w:rFonts w:ascii="宋体"/>
        </w:rPr>
      </w:pPr>
      <w:r>
        <w:rPr>
          <w:rFonts w:ascii="宋体" w:hAnsi="宋体" w:cs="宋体"/>
          <w:bCs/>
          <w:sz w:val="21"/>
          <w:lang w:val="en-GB"/>
        </w:rPr>
        <w:t>35.2.4</w:t>
      </w:r>
      <w:r>
        <w:rPr>
          <w:rFonts w:hint="eastAsia" w:ascii="宋体" w:hAnsi="宋体" w:cs="宋体"/>
          <w:bCs/>
          <w:sz w:val="21"/>
          <w:lang w:val="en-GB"/>
        </w:rPr>
        <w:t xml:space="preserve"> 卖方应向买方提供完整的设备技术资料，买方有权委托国内有资质的单位对设备性能、精度进行复核，设备若经检验不合格者，检验费用应由中标人承担。</w:t>
      </w:r>
    </w:p>
    <w:p>
      <w:pPr>
        <w:spacing w:beforeLines="100"/>
        <w:jc w:val="center"/>
        <w:rPr>
          <w:rFonts w:ascii="黑体" w:eastAsia="黑体" w:cs="黑体"/>
          <w:b/>
          <w:bCs/>
          <w:sz w:val="30"/>
          <w:szCs w:val="30"/>
        </w:rPr>
      </w:pPr>
      <w:r>
        <w:br w:type="page"/>
      </w:r>
      <w:r>
        <w:rPr>
          <w:rFonts w:hint="eastAsia" w:ascii="黑体" w:eastAsia="黑体" w:cs="黑体"/>
          <w:b/>
          <w:bCs/>
          <w:sz w:val="30"/>
          <w:szCs w:val="30"/>
        </w:rPr>
        <w:t>合同专用条款资料表</w:t>
      </w:r>
    </w:p>
    <w:p>
      <w:pPr>
        <w:spacing w:afterLines="30" w:line="360" w:lineRule="exact"/>
        <w:rPr>
          <w:rFonts w:ascii="宋体"/>
        </w:rPr>
      </w:pPr>
      <w:r>
        <w:rPr>
          <w:rFonts w:hint="eastAsia" w:cs="宋体"/>
        </w:rPr>
        <w:t>说明：本数据表是专用合同条款中适用于本项目的信息和数据的归纳与提示，是专用合同条款的组成部分。</w:t>
      </w:r>
    </w:p>
    <w:tbl>
      <w:tblPr>
        <w:tblStyle w:val="53"/>
        <w:tblW w:w="93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7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081" w:type="dxa"/>
            <w:vAlign w:val="center"/>
          </w:tcPr>
          <w:p>
            <w:pPr>
              <w:spacing w:line="300" w:lineRule="exact"/>
              <w:jc w:val="center"/>
              <w:rPr>
                <w:rFonts w:ascii="黑体" w:hAnsi="宋体" w:eastAsia="黑体"/>
                <w:b/>
                <w:bCs/>
              </w:rPr>
            </w:pPr>
            <w:r>
              <w:rPr>
                <w:rFonts w:hint="eastAsia" w:ascii="黑体" w:hAnsi="宋体" w:eastAsia="黑体" w:cs="黑体"/>
                <w:b/>
                <w:bCs/>
              </w:rPr>
              <w:t>序号</w:t>
            </w:r>
          </w:p>
        </w:tc>
        <w:tc>
          <w:tcPr>
            <w:tcW w:w="1081" w:type="dxa"/>
            <w:vAlign w:val="center"/>
          </w:tcPr>
          <w:p>
            <w:pPr>
              <w:spacing w:line="300" w:lineRule="exact"/>
              <w:jc w:val="center"/>
              <w:rPr>
                <w:rFonts w:ascii="黑体" w:hAnsi="宋体" w:eastAsia="黑体"/>
                <w:b/>
                <w:bCs/>
              </w:rPr>
            </w:pPr>
            <w:r>
              <w:rPr>
                <w:rFonts w:hint="eastAsia" w:ascii="黑体" w:hAnsi="宋体" w:eastAsia="黑体" w:cs="黑体"/>
                <w:b/>
                <w:bCs/>
              </w:rPr>
              <w:t>条款号</w:t>
            </w:r>
          </w:p>
        </w:tc>
        <w:tc>
          <w:tcPr>
            <w:tcW w:w="7160" w:type="dxa"/>
            <w:vAlign w:val="center"/>
          </w:tcPr>
          <w:p>
            <w:pPr>
              <w:spacing w:line="300" w:lineRule="exact"/>
              <w:jc w:val="center"/>
              <w:rPr>
                <w:rFonts w:ascii="黑体" w:hAnsi="宋体" w:eastAsia="黑体"/>
                <w:b/>
                <w:bCs/>
              </w:rPr>
            </w:pPr>
            <w:r>
              <w:rPr>
                <w:rFonts w:hint="eastAsia" w:ascii="黑体" w:hAnsi="宋体" w:eastAsia="黑体" w:cs="黑体"/>
                <w:b/>
                <w:bCs/>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vAlign w:val="center"/>
          </w:tcPr>
          <w:p>
            <w:pPr>
              <w:spacing w:line="360" w:lineRule="exact"/>
              <w:jc w:val="center"/>
              <w:rPr>
                <w:rFonts w:ascii="宋体" w:hAnsi="宋体"/>
              </w:rPr>
            </w:pPr>
            <w:r>
              <w:rPr>
                <w:rFonts w:ascii="宋体" w:hAnsi="宋体" w:cs="宋体"/>
              </w:rPr>
              <w:t>1</w:t>
            </w:r>
          </w:p>
        </w:tc>
        <w:tc>
          <w:tcPr>
            <w:tcW w:w="1081" w:type="dxa"/>
            <w:vAlign w:val="center"/>
          </w:tcPr>
          <w:p>
            <w:pPr>
              <w:spacing w:line="360" w:lineRule="exact"/>
              <w:jc w:val="center"/>
              <w:rPr>
                <w:rFonts w:ascii="宋体" w:hAnsi="宋体"/>
              </w:rPr>
            </w:pPr>
            <w:r>
              <w:rPr>
                <w:rFonts w:ascii="宋体" w:hAnsi="宋体" w:cs="宋体"/>
              </w:rPr>
              <w:t>1.3</w:t>
            </w:r>
          </w:p>
        </w:tc>
        <w:tc>
          <w:tcPr>
            <w:tcW w:w="7160" w:type="dxa"/>
            <w:vAlign w:val="center"/>
          </w:tcPr>
          <w:p>
            <w:pPr>
              <w:spacing w:line="360" w:lineRule="exact"/>
              <w:jc w:val="left"/>
              <w:rPr>
                <w:rFonts w:ascii="宋体" w:hAnsi="宋体"/>
              </w:rPr>
            </w:pPr>
            <w:r>
              <w:rPr>
                <w:rFonts w:hint="eastAsia" w:ascii="宋体" w:hAnsi="宋体" w:cs="宋体"/>
              </w:rPr>
              <w:t>高空作业平台（直臂式登高车）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spacing w:line="360" w:lineRule="exact"/>
              <w:jc w:val="center"/>
              <w:rPr>
                <w:rFonts w:ascii="宋体" w:hAnsi="宋体"/>
              </w:rPr>
            </w:pPr>
            <w:r>
              <w:rPr>
                <w:rFonts w:ascii="宋体" w:hAnsi="宋体"/>
              </w:rPr>
              <w:t>2</w:t>
            </w:r>
          </w:p>
        </w:tc>
        <w:tc>
          <w:tcPr>
            <w:tcW w:w="1081" w:type="dxa"/>
            <w:vAlign w:val="center"/>
          </w:tcPr>
          <w:p>
            <w:pPr>
              <w:spacing w:line="360" w:lineRule="exact"/>
              <w:jc w:val="center"/>
              <w:rPr>
                <w:rFonts w:ascii="宋体" w:hAnsi="宋体"/>
              </w:rPr>
            </w:pPr>
            <w:r>
              <w:rPr>
                <w:rFonts w:ascii="宋体" w:hAnsi="宋体" w:cs="宋体"/>
              </w:rPr>
              <w:t>1.6</w:t>
            </w:r>
          </w:p>
        </w:tc>
        <w:tc>
          <w:tcPr>
            <w:tcW w:w="7160" w:type="dxa"/>
            <w:vAlign w:val="center"/>
          </w:tcPr>
          <w:p>
            <w:pPr>
              <w:spacing w:line="360" w:lineRule="exact"/>
              <w:jc w:val="left"/>
              <w:rPr>
                <w:rFonts w:ascii="宋体" w:hAnsi="宋体"/>
                <w:b/>
                <w:bCs/>
                <w:u w:val="single"/>
              </w:rPr>
            </w:pPr>
            <w:r>
              <w:rPr>
                <w:rFonts w:hint="eastAsia" w:ascii="宋体" w:hAnsi="宋体" w:cs="宋体"/>
              </w:rPr>
              <w:t>买方全称：南通港码头管理有限公司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rPr>
              <w:t>3</w:t>
            </w:r>
          </w:p>
        </w:tc>
        <w:tc>
          <w:tcPr>
            <w:tcW w:w="1081" w:type="dxa"/>
            <w:vAlign w:val="center"/>
          </w:tcPr>
          <w:p>
            <w:pPr>
              <w:spacing w:line="360" w:lineRule="exact"/>
              <w:jc w:val="center"/>
              <w:rPr>
                <w:rFonts w:ascii="宋体" w:hAnsi="宋体" w:cs="宋体"/>
              </w:rPr>
            </w:pPr>
            <w:r>
              <w:rPr>
                <w:rFonts w:hint="eastAsia" w:ascii="宋体" w:hAnsi="宋体" w:cs="宋体"/>
              </w:rPr>
              <w:t>1.11</w:t>
            </w:r>
          </w:p>
        </w:tc>
        <w:tc>
          <w:tcPr>
            <w:tcW w:w="7160" w:type="dxa"/>
            <w:vAlign w:val="center"/>
          </w:tcPr>
          <w:p>
            <w:pPr>
              <w:spacing w:line="360" w:lineRule="exact"/>
              <w:jc w:val="left"/>
              <w:rPr>
                <w:rFonts w:ascii="宋体" w:hAnsi="宋体" w:cs="宋体"/>
              </w:rPr>
            </w:pPr>
            <w:r>
              <w:rPr>
                <w:rFonts w:hint="eastAsia" w:ascii="宋体" w:hAnsi="宋体" w:cs="宋体"/>
              </w:rPr>
              <w:t>项目现场地点：本项目的现场地点与交货地点为同一地点。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jc w:val="center"/>
              <w:rPr>
                <w:rFonts w:ascii="宋体" w:hAnsi="宋体"/>
              </w:rPr>
            </w:pPr>
            <w:r>
              <w:rPr>
                <w:rFonts w:ascii="宋体" w:hAnsi="宋体"/>
              </w:rPr>
              <w:t>4</w:t>
            </w:r>
          </w:p>
        </w:tc>
        <w:tc>
          <w:tcPr>
            <w:tcW w:w="1081" w:type="dxa"/>
            <w:vAlign w:val="center"/>
          </w:tcPr>
          <w:p>
            <w:pPr>
              <w:jc w:val="center"/>
              <w:rPr>
                <w:rFonts w:ascii="宋体" w:hAnsi="宋体"/>
              </w:rPr>
            </w:pPr>
            <w:r>
              <w:rPr>
                <w:rFonts w:ascii="宋体" w:hAnsi="宋体"/>
              </w:rPr>
              <w:t>1.15</w:t>
            </w:r>
          </w:p>
        </w:tc>
        <w:tc>
          <w:tcPr>
            <w:tcW w:w="7160" w:type="dxa"/>
            <w:vAlign w:val="center"/>
          </w:tcPr>
          <w:p>
            <w:pPr>
              <w:spacing w:line="360" w:lineRule="exact"/>
              <w:jc w:val="left"/>
              <w:rPr>
                <w:rFonts w:ascii="宋体" w:hAnsi="宋体"/>
              </w:rPr>
            </w:pPr>
            <w:r>
              <w:rPr>
                <w:rFonts w:hint="eastAsia" w:ascii="宋体" w:hAnsi="宋体" w:cs="宋体"/>
              </w:rPr>
              <w:t>开工日期：中标通知书发出之日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rPr>
              <w:t>5</w:t>
            </w:r>
          </w:p>
        </w:tc>
        <w:tc>
          <w:tcPr>
            <w:tcW w:w="1081" w:type="dxa"/>
            <w:vAlign w:val="center"/>
          </w:tcPr>
          <w:p>
            <w:pPr>
              <w:jc w:val="center"/>
              <w:rPr>
                <w:rFonts w:ascii="宋体" w:hAnsi="宋体"/>
              </w:rPr>
            </w:pPr>
            <w:r>
              <w:rPr>
                <w:rFonts w:ascii="宋体" w:hAnsi="宋体"/>
              </w:rPr>
              <w:t>1.16</w:t>
            </w:r>
          </w:p>
        </w:tc>
        <w:tc>
          <w:tcPr>
            <w:tcW w:w="7160" w:type="dxa"/>
            <w:vAlign w:val="center"/>
          </w:tcPr>
          <w:p>
            <w:pPr>
              <w:spacing w:line="360" w:lineRule="exact"/>
              <w:jc w:val="left"/>
              <w:rPr>
                <w:rFonts w:ascii="宋体" w:hAnsi="宋体"/>
              </w:rPr>
            </w:pPr>
            <w:r>
              <w:rPr>
                <w:rFonts w:hint="eastAsia" w:ascii="宋体" w:hAnsi="宋体" w:cs="宋体"/>
              </w:rPr>
              <w:t>交货期：合同生效后30日历天内供货完成。交货地点为买方指定地点。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jc w:val="center"/>
              <w:rPr>
                <w:rFonts w:ascii="宋体" w:hAnsi="宋体"/>
              </w:rPr>
            </w:pPr>
            <w:r>
              <w:rPr>
                <w:rFonts w:ascii="宋体" w:hAnsi="宋体"/>
              </w:rPr>
              <w:t>6</w:t>
            </w:r>
          </w:p>
        </w:tc>
        <w:tc>
          <w:tcPr>
            <w:tcW w:w="1081" w:type="dxa"/>
            <w:vAlign w:val="center"/>
          </w:tcPr>
          <w:p>
            <w:pPr>
              <w:jc w:val="center"/>
              <w:rPr>
                <w:rFonts w:ascii="宋体" w:hAnsi="宋体"/>
              </w:rPr>
            </w:pPr>
            <w:r>
              <w:rPr>
                <w:rFonts w:ascii="宋体" w:hAnsi="宋体"/>
              </w:rPr>
              <w:t>10</w:t>
            </w:r>
          </w:p>
        </w:tc>
        <w:tc>
          <w:tcPr>
            <w:tcW w:w="7160" w:type="dxa"/>
            <w:vAlign w:val="center"/>
          </w:tcPr>
          <w:p>
            <w:pPr>
              <w:spacing w:line="360" w:lineRule="exact"/>
              <w:jc w:val="left"/>
              <w:rPr>
                <w:rFonts w:ascii="宋体" w:hAnsi="宋体"/>
                <w:u w:val="single"/>
              </w:rPr>
            </w:pPr>
            <w:r>
              <w:rPr>
                <w:rFonts w:hint="eastAsia" w:ascii="宋体" w:hAnsi="宋体" w:cs="宋体"/>
              </w:rPr>
              <w:t>履约保证金：签约合同价的</w:t>
            </w:r>
            <w:r>
              <w:rPr>
                <w:rFonts w:ascii="宋体" w:hAnsi="宋体"/>
                <w:u w:val="single"/>
              </w:rPr>
              <w:t xml:space="preserve"> 10%</w:t>
            </w:r>
            <w:r>
              <w:rPr>
                <w:rFonts w:hint="eastAsia" w:ascii="宋体" w:hAnsi="宋体"/>
                <w:u w:val="single"/>
              </w:rPr>
              <w:t>（银行</w:t>
            </w:r>
            <w:r>
              <w:rPr>
                <w:rFonts w:hint="eastAsia" w:ascii="宋体" w:hAnsi="宋体" w:cs="宋体"/>
                <w:u w:val="single"/>
              </w:rPr>
              <w:t>履约保函、转账）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rPr>
              <w:t>7</w:t>
            </w:r>
          </w:p>
        </w:tc>
        <w:tc>
          <w:tcPr>
            <w:tcW w:w="1081" w:type="dxa"/>
            <w:vAlign w:val="center"/>
          </w:tcPr>
          <w:p>
            <w:pPr>
              <w:jc w:val="center"/>
              <w:rPr>
                <w:rFonts w:ascii="宋体" w:hAnsi="宋体"/>
              </w:rPr>
            </w:pPr>
            <w:r>
              <w:rPr>
                <w:rFonts w:ascii="宋体" w:hAnsi="宋体"/>
              </w:rPr>
              <w:t>12.1</w:t>
            </w:r>
          </w:p>
        </w:tc>
        <w:tc>
          <w:tcPr>
            <w:tcW w:w="7160" w:type="dxa"/>
            <w:vAlign w:val="center"/>
          </w:tcPr>
          <w:p>
            <w:pPr>
              <w:spacing w:line="360" w:lineRule="exact"/>
              <w:jc w:val="left"/>
              <w:rPr>
                <w:rFonts w:ascii="宋体" w:hAnsi="宋体"/>
                <w:u w:val="single"/>
              </w:rPr>
            </w:pPr>
            <w:r>
              <w:rPr>
                <w:rFonts w:hint="eastAsia" w:ascii="宋体" w:hAnsi="宋体" w:cs="宋体"/>
              </w:rPr>
              <w:t>包装形式：采用发包人认可的方式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jc w:val="center"/>
              <w:rPr>
                <w:rFonts w:ascii="宋体" w:hAnsi="宋体"/>
              </w:rPr>
            </w:pPr>
            <w:r>
              <w:rPr>
                <w:rFonts w:ascii="宋体" w:hAnsi="宋体"/>
              </w:rPr>
              <w:t>8</w:t>
            </w:r>
          </w:p>
        </w:tc>
        <w:tc>
          <w:tcPr>
            <w:tcW w:w="1081" w:type="dxa"/>
            <w:vAlign w:val="center"/>
          </w:tcPr>
          <w:p>
            <w:pPr>
              <w:jc w:val="center"/>
              <w:rPr>
                <w:rFonts w:ascii="宋体" w:hAnsi="宋体"/>
              </w:rPr>
            </w:pPr>
            <w:r>
              <w:rPr>
                <w:rFonts w:ascii="宋体" w:hAnsi="宋体"/>
              </w:rPr>
              <w:t>13.4</w:t>
            </w:r>
          </w:p>
        </w:tc>
        <w:tc>
          <w:tcPr>
            <w:tcW w:w="7160" w:type="dxa"/>
            <w:vAlign w:val="center"/>
          </w:tcPr>
          <w:p>
            <w:pPr>
              <w:spacing w:line="360" w:lineRule="exact"/>
              <w:jc w:val="left"/>
              <w:rPr>
                <w:rFonts w:ascii="宋体" w:hAnsi="宋体"/>
              </w:rPr>
            </w:pPr>
            <w:r>
              <w:rPr>
                <w:rFonts w:hint="eastAsia" w:ascii="宋体" w:hAnsi="宋体" w:cs="宋体"/>
              </w:rPr>
              <w:t>交货地点：买方指定地点。如无指令地点，则为买方办公地。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cs="宋体"/>
              </w:rPr>
              <w:t>9</w:t>
            </w:r>
          </w:p>
        </w:tc>
        <w:tc>
          <w:tcPr>
            <w:tcW w:w="1081" w:type="dxa"/>
            <w:vAlign w:val="center"/>
          </w:tcPr>
          <w:p>
            <w:pPr>
              <w:spacing w:line="360" w:lineRule="exact"/>
              <w:jc w:val="center"/>
              <w:rPr>
                <w:rFonts w:ascii="宋体" w:hAnsi="宋体"/>
              </w:rPr>
            </w:pPr>
            <w:r>
              <w:rPr>
                <w:rFonts w:ascii="宋体" w:hAnsi="宋体" w:cs="宋体"/>
              </w:rPr>
              <w:t>20.1</w:t>
            </w:r>
          </w:p>
        </w:tc>
        <w:tc>
          <w:tcPr>
            <w:tcW w:w="7160" w:type="dxa"/>
            <w:vAlign w:val="center"/>
          </w:tcPr>
          <w:p>
            <w:pPr>
              <w:spacing w:line="360" w:lineRule="exact"/>
              <w:jc w:val="left"/>
              <w:rPr>
                <w:rFonts w:ascii="宋体" w:hAnsi="宋体"/>
              </w:rPr>
            </w:pPr>
            <w:r>
              <w:rPr>
                <w:rFonts w:hint="eastAsia" w:ascii="宋体" w:hAnsi="宋体" w:cs="宋体"/>
              </w:rPr>
              <w:t>预付款：无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spacing w:line="360" w:lineRule="exact"/>
              <w:jc w:val="center"/>
              <w:rPr>
                <w:rFonts w:ascii="宋体" w:hAnsi="宋体"/>
              </w:rPr>
            </w:pPr>
            <w:r>
              <w:rPr>
                <w:rFonts w:ascii="宋体" w:hAnsi="宋体" w:cs="宋体"/>
              </w:rPr>
              <w:t>10</w:t>
            </w:r>
          </w:p>
        </w:tc>
        <w:tc>
          <w:tcPr>
            <w:tcW w:w="1081" w:type="dxa"/>
            <w:vAlign w:val="center"/>
          </w:tcPr>
          <w:p>
            <w:pPr>
              <w:spacing w:line="360" w:lineRule="exact"/>
              <w:jc w:val="center"/>
              <w:rPr>
                <w:rFonts w:ascii="宋体" w:hAnsi="宋体"/>
              </w:rPr>
            </w:pPr>
            <w:r>
              <w:rPr>
                <w:rFonts w:ascii="宋体" w:hAnsi="宋体" w:cs="宋体"/>
              </w:rPr>
              <w:t>20.2</w:t>
            </w:r>
          </w:p>
        </w:tc>
        <w:tc>
          <w:tcPr>
            <w:tcW w:w="7160" w:type="dxa"/>
            <w:vAlign w:val="center"/>
          </w:tcPr>
          <w:p>
            <w:pPr>
              <w:spacing w:line="360" w:lineRule="exact"/>
              <w:jc w:val="left"/>
              <w:rPr>
                <w:rFonts w:ascii="宋体" w:hAnsi="宋体"/>
              </w:rPr>
            </w:pPr>
            <w:r>
              <w:rPr>
                <w:rFonts w:hint="eastAsia" w:ascii="宋体" w:hAnsi="宋体" w:cs="宋体"/>
              </w:rPr>
              <w:t>保留金：合同总价的</w:t>
            </w:r>
            <w:r>
              <w:rPr>
                <w:rFonts w:hint="eastAsia" w:ascii="宋体" w:hAnsi="宋体"/>
              </w:rPr>
              <w:t>3</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spacing w:line="360" w:lineRule="exact"/>
              <w:jc w:val="center"/>
              <w:rPr>
                <w:rFonts w:ascii="宋体" w:hAnsi="宋体"/>
              </w:rPr>
            </w:pPr>
            <w:r>
              <w:rPr>
                <w:rFonts w:ascii="宋体" w:hAnsi="宋体" w:cs="宋体"/>
              </w:rPr>
              <w:t>11</w:t>
            </w:r>
          </w:p>
        </w:tc>
        <w:tc>
          <w:tcPr>
            <w:tcW w:w="1081" w:type="dxa"/>
            <w:vAlign w:val="center"/>
          </w:tcPr>
          <w:p>
            <w:pPr>
              <w:spacing w:line="360" w:lineRule="exact"/>
              <w:jc w:val="center"/>
              <w:rPr>
                <w:rFonts w:ascii="宋体" w:hAnsi="宋体"/>
              </w:rPr>
            </w:pPr>
            <w:r>
              <w:rPr>
                <w:rFonts w:ascii="宋体" w:hAnsi="宋体" w:cs="宋体"/>
              </w:rPr>
              <w:t>24.2</w:t>
            </w:r>
          </w:p>
        </w:tc>
        <w:tc>
          <w:tcPr>
            <w:tcW w:w="7160" w:type="dxa"/>
            <w:vAlign w:val="center"/>
          </w:tcPr>
          <w:p>
            <w:pPr>
              <w:spacing w:line="360" w:lineRule="exact"/>
              <w:jc w:val="left"/>
              <w:rPr>
                <w:rFonts w:ascii="宋体" w:hAnsi="宋体"/>
              </w:rPr>
            </w:pPr>
            <w:r>
              <w:rPr>
                <w:rFonts w:hint="eastAsia" w:ascii="宋体" w:hAnsi="宋体" w:cs="宋体"/>
              </w:rPr>
              <w:t>误期赔偿费支付比例：（卖方交付货物每延误</w:t>
            </w:r>
            <w:r>
              <w:rPr>
                <w:rFonts w:ascii="宋体" w:hAnsi="宋体"/>
              </w:rPr>
              <w:t>7</w:t>
            </w:r>
            <w:r>
              <w:rPr>
                <w:rFonts w:hint="eastAsia" w:ascii="宋体" w:hAnsi="宋体" w:cs="宋体"/>
              </w:rPr>
              <w:t>天）合同价格的</w:t>
            </w:r>
            <w:r>
              <w:rPr>
                <w:rFonts w:ascii="宋体" w:hAnsi="宋体"/>
                <w:u w:val="singl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spacing w:line="360" w:lineRule="exact"/>
              <w:jc w:val="center"/>
              <w:rPr>
                <w:rFonts w:ascii="宋体" w:hAnsi="宋体"/>
              </w:rPr>
            </w:pPr>
            <w:r>
              <w:rPr>
                <w:rFonts w:ascii="宋体" w:hAnsi="宋体" w:cs="宋体"/>
              </w:rPr>
              <w:t>12</w:t>
            </w:r>
          </w:p>
        </w:tc>
        <w:tc>
          <w:tcPr>
            <w:tcW w:w="1081" w:type="dxa"/>
            <w:vAlign w:val="center"/>
          </w:tcPr>
          <w:p>
            <w:pPr>
              <w:spacing w:line="360" w:lineRule="exact"/>
              <w:jc w:val="center"/>
              <w:rPr>
                <w:rFonts w:ascii="宋体" w:hAnsi="宋体"/>
              </w:rPr>
            </w:pPr>
            <w:r>
              <w:rPr>
                <w:rFonts w:ascii="宋体" w:hAnsi="宋体" w:cs="宋体"/>
              </w:rPr>
              <w:t>25.1</w:t>
            </w:r>
          </w:p>
        </w:tc>
        <w:tc>
          <w:tcPr>
            <w:tcW w:w="7160" w:type="dxa"/>
            <w:vAlign w:val="center"/>
          </w:tcPr>
          <w:p>
            <w:pPr>
              <w:spacing w:line="360" w:lineRule="exact"/>
              <w:jc w:val="left"/>
              <w:rPr>
                <w:rFonts w:ascii="宋体" w:hAnsi="宋体"/>
              </w:rPr>
            </w:pPr>
            <w:r>
              <w:rPr>
                <w:rFonts w:hint="eastAsia" w:ascii="宋体" w:hAnsi="宋体" w:cs="宋体"/>
              </w:rPr>
              <w:t>争议解决方式：向买方南通人民法院提起诉讼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spacing w:line="360" w:lineRule="exact"/>
              <w:jc w:val="center"/>
              <w:rPr>
                <w:rFonts w:ascii="宋体" w:hAnsi="宋体"/>
              </w:rPr>
            </w:pPr>
            <w:r>
              <w:rPr>
                <w:rFonts w:ascii="宋体" w:hAnsi="宋体" w:cs="宋体"/>
              </w:rPr>
              <w:t>13</w:t>
            </w:r>
          </w:p>
        </w:tc>
        <w:tc>
          <w:tcPr>
            <w:tcW w:w="1081" w:type="dxa"/>
            <w:vAlign w:val="center"/>
          </w:tcPr>
          <w:p>
            <w:pPr>
              <w:spacing w:line="360" w:lineRule="exact"/>
              <w:jc w:val="center"/>
              <w:rPr>
                <w:rFonts w:ascii="宋体" w:hAnsi="宋体"/>
              </w:rPr>
            </w:pPr>
            <w:r>
              <w:rPr>
                <w:rFonts w:ascii="宋体" w:hAnsi="宋体" w:cs="宋体"/>
              </w:rPr>
              <w:t>31.1</w:t>
            </w:r>
          </w:p>
        </w:tc>
        <w:tc>
          <w:tcPr>
            <w:tcW w:w="7160" w:type="dxa"/>
            <w:vAlign w:val="center"/>
          </w:tcPr>
          <w:p>
            <w:pPr>
              <w:spacing w:line="360" w:lineRule="exact"/>
              <w:jc w:val="left"/>
              <w:rPr>
                <w:rFonts w:ascii="宋体" w:hAnsi="宋体"/>
                <w:b/>
              </w:rPr>
            </w:pPr>
            <w:r>
              <w:rPr>
                <w:rFonts w:hint="eastAsia" w:ascii="宋体" w:hAnsi="宋体" w:cs="宋体"/>
                <w:b/>
              </w:rPr>
              <w:t>质量保证期：交货验收合格后的24个月。</w:t>
            </w:r>
          </w:p>
        </w:tc>
      </w:tr>
    </w:tbl>
    <w:p>
      <w:pPr>
        <w:adjustRightInd w:val="0"/>
        <w:snapToGrid w:val="0"/>
        <w:spacing w:beforeLines="15" w:afterLines="15" w:line="360" w:lineRule="auto"/>
        <w:ind w:firstLine="420" w:firstLineChars="200"/>
        <w:jc w:val="left"/>
        <w:rPr>
          <w:rFonts w:ascii="宋体"/>
        </w:rPr>
      </w:pPr>
    </w:p>
    <w:p>
      <w:pPr>
        <w:adjustRightInd w:val="0"/>
        <w:snapToGrid w:val="0"/>
        <w:spacing w:beforeLines="15" w:afterLines="15" w:line="360" w:lineRule="auto"/>
        <w:ind w:firstLine="420" w:firstLineChars="200"/>
        <w:jc w:val="left"/>
        <w:rPr>
          <w:rFonts w:ascii="宋体"/>
        </w:rPr>
      </w:pPr>
    </w:p>
    <w:p>
      <w:pPr>
        <w:spacing w:line="400" w:lineRule="exact"/>
        <w:jc w:val="left"/>
        <w:rPr>
          <w:rFonts w:ascii="宋体" w:hAnsi="宋体" w:cs="宋体"/>
          <w:u w:val="single"/>
        </w:rPr>
      </w:pPr>
      <w:r>
        <w:rPr>
          <w:rFonts w:hint="eastAsia" w:ascii="宋体" w:hAnsi="宋体" w:cs="宋体"/>
        </w:rPr>
        <w:t>买方：</w:t>
      </w:r>
      <w:r>
        <w:rPr>
          <w:rFonts w:hint="eastAsia" w:ascii="宋体" w:hAnsi="宋体" w:cs="宋体"/>
          <w:b/>
          <w:u w:val="single"/>
        </w:rPr>
        <w:t>南通港码头管理有限公司</w:t>
      </w:r>
      <w:r>
        <w:rPr>
          <w:rFonts w:hint="eastAsia" w:ascii="宋体" w:hAnsi="宋体" w:cs="宋体"/>
          <w:b/>
          <w:u w:val="none"/>
          <w:lang w:val="en-US" w:eastAsia="zh-CN"/>
        </w:rPr>
        <w:t xml:space="preserve">              </w:t>
      </w:r>
      <w:r>
        <w:rPr>
          <w:rFonts w:hint="eastAsia" w:ascii="宋体" w:hAnsi="宋体" w:cs="宋体"/>
        </w:rPr>
        <w:t>卖方：</w:t>
      </w:r>
    </w:p>
    <w:p>
      <w:pPr>
        <w:spacing w:line="400" w:lineRule="exact"/>
        <w:jc w:val="left"/>
        <w:rPr>
          <w:rFonts w:ascii="宋体"/>
        </w:rPr>
      </w:pPr>
      <w:r>
        <w:rPr>
          <w:rFonts w:hint="eastAsia" w:ascii="宋体" w:hAnsi="宋体" w:cs="宋体"/>
        </w:rPr>
        <w:t>法定代表人                                法定代表人</w:t>
      </w:r>
    </w:p>
    <w:p>
      <w:pPr>
        <w:spacing w:line="460" w:lineRule="exact"/>
        <w:jc w:val="left"/>
        <w:rPr>
          <w:rFonts w:ascii="宋体"/>
        </w:rPr>
      </w:pPr>
      <w:r>
        <w:rPr>
          <w:rFonts w:hint="eastAsia" w:ascii="宋体" w:hAnsi="宋体" w:cs="宋体"/>
        </w:rPr>
        <w:t>或其授权的代理人：</w:t>
      </w:r>
      <w:r>
        <w:rPr>
          <w:rFonts w:hint="eastAsia" w:ascii="仿宋" w:hAnsi="仿宋" w:eastAsia="仿宋" w:cs="Arial"/>
          <w:b/>
          <w:kern w:val="0"/>
          <w:sz w:val="24"/>
          <w:szCs w:val="24"/>
        </w:rPr>
        <w:t>（签字）</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或其授权的代理人：</w:t>
      </w:r>
      <w:r>
        <w:rPr>
          <w:rFonts w:hint="eastAsia" w:ascii="仿宋" w:hAnsi="仿宋" w:eastAsia="仿宋" w:cs="Arial"/>
          <w:b/>
          <w:kern w:val="0"/>
          <w:sz w:val="24"/>
          <w:szCs w:val="24"/>
        </w:rPr>
        <w:t>（签字）</w:t>
      </w:r>
    </w:p>
    <w:p>
      <w:pPr>
        <w:spacing w:line="400" w:lineRule="exact"/>
        <w:jc w:val="left"/>
        <w:rPr>
          <w:rFonts w:ascii="宋体" w:hAnsi="宋体" w:cs="宋体"/>
          <w:u w:val="single"/>
        </w:rPr>
      </w:pPr>
    </w:p>
    <w:p>
      <w:pPr>
        <w:spacing w:line="400" w:lineRule="exact"/>
        <w:ind w:firstLine="1680" w:firstLineChars="800"/>
        <w:jc w:val="left"/>
        <w:rPr>
          <w:rFonts w:ascii="宋体"/>
        </w:rPr>
      </w:pPr>
      <w:r>
        <w:rPr>
          <w:rFonts w:hint="eastAsia" w:ascii="宋体" w:hAnsi="宋体" w:cs="宋体"/>
        </w:rPr>
        <w:t>2021年   月    日                        2021年   月    日</w:t>
      </w:r>
    </w:p>
    <w:p>
      <w:pPr>
        <w:pStyle w:val="5"/>
        <w:spacing w:before="240"/>
      </w:pPr>
      <w:r>
        <w:rPr>
          <w:rFonts w:hint="eastAsia"/>
        </w:rPr>
        <w:t>附件三：合同设备技术规格</w:t>
      </w:r>
    </w:p>
    <w:p>
      <w:pPr>
        <w:pStyle w:val="5"/>
        <w:spacing w:before="240"/>
      </w:pPr>
      <w:r>
        <w:rPr>
          <w:rFonts w:hint="eastAsia"/>
        </w:rPr>
        <w:t>附件四：廉政合同</w:t>
      </w:r>
    </w:p>
    <w:p>
      <w:pPr>
        <w:spacing w:beforeLines="50" w:afterLines="50" w:line="560" w:lineRule="exact"/>
        <w:jc w:val="center"/>
        <w:rPr>
          <w:rFonts w:ascii="黑体" w:hAnsi="黑体" w:eastAsia="黑体"/>
          <w:sz w:val="36"/>
          <w:szCs w:val="36"/>
        </w:rPr>
      </w:pPr>
      <w:r>
        <w:rPr>
          <w:rFonts w:hint="eastAsia" w:ascii="黑体" w:hAnsi="黑体" w:eastAsia="黑体"/>
          <w:spacing w:val="-28"/>
          <w:sz w:val="36"/>
          <w:szCs w:val="36"/>
        </w:rPr>
        <w:t>南通港码头管理有限公司高空作业平台（直臂式登高车）采购项目</w:t>
      </w:r>
      <w:r>
        <w:rPr>
          <w:rFonts w:hint="eastAsia" w:ascii="黑体" w:hAnsi="黑体" w:eastAsia="黑体"/>
          <w:sz w:val="36"/>
          <w:szCs w:val="36"/>
        </w:rPr>
        <w:t xml:space="preserve"> 廉政合同</w:t>
      </w:r>
      <w:bookmarkEnd w:id="167"/>
      <w:bookmarkStart w:id="185" w:name="_Toc81380102"/>
      <w:bookmarkStart w:id="186" w:name="_Toc291492933"/>
      <w:bookmarkStart w:id="187" w:name="_Toc214071944"/>
    </w:p>
    <w:p>
      <w:pPr>
        <w:spacing w:beforeLines="100" w:line="360" w:lineRule="auto"/>
        <w:ind w:firstLine="420" w:firstLineChars="200"/>
        <w:jc w:val="left"/>
      </w:pPr>
      <w:r>
        <w:rPr>
          <w:rFonts w:hint="eastAsia"/>
        </w:rPr>
        <w:t>为加强设备采购活动中的廉政建设，保证设备采购项目的高效优质完成，保证项目资金的安全和有效使用，南通港码头管理有限公司高空作业平台（直臂式登高车）采购项目 买方名称：南通港码头管理有限公司</w:t>
      </w:r>
      <w:r>
        <w:t>(</w:t>
      </w:r>
      <w:r>
        <w:rPr>
          <w:rFonts w:hint="eastAsia"/>
        </w:rPr>
        <w:t>以下称买方</w:t>
      </w:r>
      <w:r>
        <w:t>)</w:t>
      </w:r>
      <w:r>
        <w:rPr>
          <w:rFonts w:hint="eastAsia"/>
        </w:rPr>
        <w:t>，中标单位名称：</w:t>
      </w:r>
      <w:r>
        <w:t>(</w:t>
      </w:r>
      <w:r>
        <w:rPr>
          <w:rFonts w:hint="eastAsia"/>
        </w:rPr>
        <w:t>以下称卖方</w:t>
      </w:r>
      <w:r>
        <w:t>)</w:t>
      </w:r>
      <w:r>
        <w:rPr>
          <w:rFonts w:hint="eastAsia"/>
        </w:rPr>
        <w:t>，特订立如下廉政协议。</w:t>
      </w:r>
    </w:p>
    <w:p>
      <w:pPr>
        <w:spacing w:line="360" w:lineRule="auto"/>
        <w:ind w:firstLine="420"/>
        <w:jc w:val="left"/>
      </w:pPr>
      <w:r>
        <w:rPr>
          <w:rFonts w:hint="eastAsia"/>
        </w:rPr>
        <w:t>第</w:t>
      </w:r>
      <w:r>
        <w:t>—</w:t>
      </w:r>
      <w:r>
        <w:rPr>
          <w:rFonts w:hint="eastAsia"/>
        </w:rPr>
        <w:t>条 甲乙双方的权利和义务</w:t>
      </w:r>
    </w:p>
    <w:p>
      <w:pPr>
        <w:spacing w:line="360" w:lineRule="auto"/>
        <w:ind w:firstLine="420"/>
        <w:jc w:val="left"/>
      </w:pPr>
      <w:r>
        <w:t>(</w:t>
      </w:r>
      <w:r>
        <w:rPr>
          <w:rFonts w:hint="eastAsia"/>
        </w:rPr>
        <w:t>一</w:t>
      </w:r>
      <w:r>
        <w:t>)</w:t>
      </w:r>
      <w:r>
        <w:rPr>
          <w:rFonts w:hint="eastAsia"/>
        </w:rPr>
        <w:t xml:space="preserve"> 严格遵守党和国家有关法律法规及建筑，交通、水利、电力、邮电等部门的有关规定。</w:t>
      </w:r>
    </w:p>
    <w:p>
      <w:pPr>
        <w:spacing w:line="360" w:lineRule="auto"/>
        <w:ind w:firstLine="420"/>
        <w:jc w:val="left"/>
      </w:pPr>
      <w:r>
        <w:t>(</w:t>
      </w:r>
      <w:r>
        <w:rPr>
          <w:rFonts w:hint="eastAsia"/>
        </w:rPr>
        <w:t>二</w:t>
      </w:r>
      <w:r>
        <w:t>)</w:t>
      </w:r>
      <w:r>
        <w:rPr>
          <w:rFonts w:hint="eastAsia"/>
        </w:rPr>
        <w:t xml:space="preserve"> 严格执行设备工程的合同文件，自觉按合同办事。</w:t>
      </w:r>
    </w:p>
    <w:p>
      <w:pPr>
        <w:spacing w:line="360" w:lineRule="auto"/>
        <w:ind w:firstLine="420"/>
        <w:jc w:val="left"/>
      </w:pPr>
      <w:r>
        <w:t>(</w:t>
      </w:r>
      <w:r>
        <w:rPr>
          <w:rFonts w:hint="eastAsia"/>
        </w:rPr>
        <w:t>三</w:t>
      </w:r>
      <w:r>
        <w:t>)</w:t>
      </w:r>
      <w:r>
        <w:rPr>
          <w:rFonts w:hint="eastAsia"/>
        </w:rPr>
        <w:t xml:space="preserve"> 双方的业务活动坚持公开，公平、公正、诚信、透明的原则</w:t>
      </w:r>
      <w:r>
        <w:t>(</w:t>
      </w:r>
      <w:r>
        <w:rPr>
          <w:rFonts w:hint="eastAsia"/>
        </w:rPr>
        <w:t>除法律认定的商业秘密和合同文件另有规定之外</w:t>
      </w:r>
      <w:r>
        <w:t>)</w:t>
      </w:r>
      <w:r>
        <w:rPr>
          <w:rFonts w:hint="eastAsia"/>
        </w:rPr>
        <w:t>，不得损害国家和集体利益。</w:t>
      </w:r>
    </w:p>
    <w:p>
      <w:pPr>
        <w:spacing w:line="360" w:lineRule="auto"/>
        <w:ind w:firstLine="420"/>
        <w:jc w:val="left"/>
      </w:pPr>
      <w:r>
        <w:t>(</w:t>
      </w:r>
      <w:r>
        <w:rPr>
          <w:rFonts w:hint="eastAsia"/>
        </w:rPr>
        <w:t>四</w:t>
      </w:r>
      <w:r>
        <w:t>)</w:t>
      </w:r>
      <w:r>
        <w:rPr>
          <w:rFonts w:hint="eastAsia"/>
        </w:rPr>
        <w:t xml:space="preserve"> 建立健全廉政制度、监督制度和处罚制度，开展廉政教育，设立廉政告示牌，公布举报电话。</w:t>
      </w:r>
    </w:p>
    <w:p>
      <w:pPr>
        <w:spacing w:line="360" w:lineRule="auto"/>
        <w:ind w:firstLine="420"/>
        <w:jc w:val="left"/>
      </w:pPr>
      <w:r>
        <w:t>(</w:t>
      </w:r>
      <w:r>
        <w:rPr>
          <w:rFonts w:hint="eastAsia"/>
        </w:rPr>
        <w:t>五</w:t>
      </w:r>
      <w:r>
        <w:t>)</w:t>
      </w:r>
      <w:r>
        <w:rPr>
          <w:rFonts w:hint="eastAsia"/>
        </w:rPr>
        <w:t xml:space="preserve"> 发现对方在业务活动中有违反廉政规定的行为，有及时提醒对方纠正的权利和义务。</w:t>
      </w:r>
    </w:p>
    <w:p>
      <w:pPr>
        <w:spacing w:line="360" w:lineRule="auto"/>
        <w:ind w:firstLine="420"/>
        <w:jc w:val="left"/>
      </w:pPr>
      <w:r>
        <w:t>(</w:t>
      </w:r>
      <w:r>
        <w:rPr>
          <w:rFonts w:hint="eastAsia"/>
        </w:rPr>
        <w:t>六</w:t>
      </w:r>
      <w:r>
        <w:t>)</w:t>
      </w:r>
      <w:r>
        <w:rPr>
          <w:rFonts w:hint="eastAsia"/>
        </w:rPr>
        <w:t xml:space="preserve"> 发现对方严重违反本合同义务条款</w:t>
      </w:r>
      <w:r>
        <w:t>(</w:t>
      </w:r>
      <w:r>
        <w:rPr>
          <w:rFonts w:hint="eastAsia"/>
        </w:rPr>
        <w:t>的行为，有向其上级有关部门举报，建议给予处理并要求告知处理的结果的权利。</w:t>
      </w:r>
    </w:p>
    <w:p>
      <w:pPr>
        <w:spacing w:line="360" w:lineRule="auto"/>
        <w:ind w:firstLine="420"/>
        <w:jc w:val="left"/>
      </w:pPr>
      <w:r>
        <w:rPr>
          <w:rFonts w:hint="eastAsia"/>
        </w:rPr>
        <w:t>第二条 买方的义务</w:t>
      </w:r>
    </w:p>
    <w:p>
      <w:pPr>
        <w:spacing w:line="360" w:lineRule="auto"/>
        <w:ind w:firstLine="420"/>
        <w:jc w:val="left"/>
      </w:pPr>
      <w:r>
        <w:t>(</w:t>
      </w:r>
      <w:r>
        <w:rPr>
          <w:rFonts w:hint="eastAsia"/>
        </w:rPr>
        <w:t>一</w:t>
      </w:r>
      <w:r>
        <w:t>)</w:t>
      </w:r>
      <w:r>
        <w:rPr>
          <w:rFonts w:hint="eastAsia"/>
        </w:rPr>
        <w:t>买方及其工作人员不得索要或接受卖方的礼金、礼券券和物品，不得在卖方报销任何应由买方或个人支付的费用等。</w:t>
      </w:r>
    </w:p>
    <w:p>
      <w:pPr>
        <w:spacing w:line="360" w:lineRule="auto"/>
        <w:ind w:firstLine="420"/>
        <w:jc w:val="left"/>
      </w:pPr>
      <w:r>
        <w:t>(</w:t>
      </w:r>
      <w:r>
        <w:rPr>
          <w:rFonts w:hint="eastAsia"/>
        </w:rPr>
        <w:t>二</w:t>
      </w:r>
      <w:r>
        <w:t>)</w:t>
      </w:r>
      <w:r>
        <w:rPr>
          <w:rFonts w:hint="eastAsia"/>
        </w:rPr>
        <w:t>买方不得有意刁难、拖欠卖方货款，不得违反规定批拨货款等。</w:t>
      </w:r>
    </w:p>
    <w:p>
      <w:pPr>
        <w:spacing w:line="360" w:lineRule="auto"/>
        <w:ind w:firstLine="420"/>
        <w:jc w:val="left"/>
      </w:pPr>
      <w:r>
        <w:t>(</w:t>
      </w:r>
      <w:r>
        <w:rPr>
          <w:rFonts w:hint="eastAsia"/>
        </w:rPr>
        <w:t>三</w:t>
      </w:r>
      <w:r>
        <w:t>)</w:t>
      </w:r>
      <w:r>
        <w:rPr>
          <w:rFonts w:hint="eastAsia"/>
        </w:rPr>
        <w:t>买方工作人且不得参加乙力安排的宴请和娱乐活动；不得接受卖方提供的通讯工具，交通工具和高档办公用品等。</w:t>
      </w:r>
    </w:p>
    <w:p>
      <w:pPr>
        <w:spacing w:line="360" w:lineRule="auto"/>
        <w:ind w:firstLine="420"/>
        <w:jc w:val="left"/>
      </w:pPr>
      <w:r>
        <w:t>(</w:t>
      </w:r>
      <w:r>
        <w:rPr>
          <w:rFonts w:hint="eastAsia"/>
        </w:rPr>
        <w:t>四</w:t>
      </w:r>
      <w:r>
        <w:t>)</w:t>
      </w:r>
      <w:r>
        <w:rPr>
          <w:rFonts w:hint="eastAsia"/>
        </w:rPr>
        <w:t>买方及其工作人员不得要求或者接受卖方为其住房装修，操办婚丧嫁娶、安排配偶子女的工作以及出国出境、旅游等．</w:t>
      </w:r>
    </w:p>
    <w:p>
      <w:pPr>
        <w:spacing w:line="360" w:lineRule="auto"/>
        <w:ind w:firstLine="420"/>
        <w:jc w:val="left"/>
      </w:pPr>
      <w:r>
        <w:rPr>
          <w:rFonts w:hint="eastAsia"/>
        </w:rPr>
        <w:t>(五）买方工作人员的配偶、子女及下属单位不得从事与买方工程有关的材料设备供应、工程分包、劳务等经济活动．</w:t>
      </w:r>
    </w:p>
    <w:p>
      <w:pPr>
        <w:spacing w:line="360" w:lineRule="auto"/>
        <w:ind w:firstLine="420"/>
        <w:jc w:val="left"/>
      </w:pPr>
      <w:r>
        <w:t>(</w:t>
      </w:r>
      <w:r>
        <w:rPr>
          <w:rFonts w:hint="eastAsia"/>
        </w:rPr>
        <w:t>六</w:t>
      </w:r>
      <w:r>
        <w:t>)</w:t>
      </w:r>
      <w:r>
        <w:rPr>
          <w:rFonts w:hint="eastAsia"/>
        </w:rPr>
        <w:t>买方及其工作人员不得以任何理由向卖方推荐分包单位。</w:t>
      </w:r>
    </w:p>
    <w:p>
      <w:pPr>
        <w:spacing w:line="360" w:lineRule="auto"/>
        <w:ind w:firstLine="420"/>
        <w:jc w:val="left"/>
      </w:pPr>
      <w:r>
        <w:rPr>
          <w:rFonts w:hint="eastAsia"/>
        </w:rPr>
        <w:t>第三条 卖方义务</w:t>
      </w:r>
    </w:p>
    <w:p>
      <w:pPr>
        <w:spacing w:line="360" w:lineRule="auto"/>
        <w:ind w:firstLine="420"/>
        <w:jc w:val="left"/>
      </w:pPr>
      <w:r>
        <w:t>(</w:t>
      </w:r>
      <w:r>
        <w:rPr>
          <w:rFonts w:hint="eastAsia"/>
        </w:rPr>
        <w:t>一</w:t>
      </w:r>
      <w:r>
        <w:t>)</w:t>
      </w:r>
      <w:r>
        <w:rPr>
          <w:rFonts w:hint="eastAsia"/>
        </w:rPr>
        <w:t>卖方不得以任何理由向买方及其工作人员行贿或馈赠礼金、礼券，有价证券、礼品。</w:t>
      </w:r>
    </w:p>
    <w:p>
      <w:pPr>
        <w:spacing w:line="360" w:lineRule="auto"/>
        <w:ind w:firstLine="420"/>
        <w:jc w:val="left"/>
      </w:pPr>
      <w:r>
        <w:t>(</w:t>
      </w:r>
      <w:r>
        <w:rPr>
          <w:rFonts w:hint="eastAsia"/>
        </w:rPr>
        <w:t>二</w:t>
      </w:r>
      <w:r>
        <w:t>)</w:t>
      </w:r>
      <w:r>
        <w:rPr>
          <w:rFonts w:hint="eastAsia"/>
        </w:rPr>
        <w:t>卖方不得以任何名义为买方及其工作人员报销应由买方单位或个人支付的任何费用。</w:t>
      </w:r>
    </w:p>
    <w:p>
      <w:pPr>
        <w:spacing w:line="360" w:lineRule="auto"/>
        <w:ind w:firstLine="420"/>
        <w:jc w:val="left"/>
      </w:pPr>
      <w:r>
        <w:t>(</w:t>
      </w:r>
      <w:r>
        <w:rPr>
          <w:rFonts w:hint="eastAsia"/>
        </w:rPr>
        <w:t>三</w:t>
      </w:r>
      <w:r>
        <w:t>)</w:t>
      </w:r>
      <w:r>
        <w:rPr>
          <w:rFonts w:hint="eastAsia"/>
        </w:rPr>
        <w:t>卖方不得要求买方违反规定批拔、追加工货款等．</w:t>
      </w:r>
    </w:p>
    <w:p>
      <w:pPr>
        <w:spacing w:line="360" w:lineRule="auto"/>
        <w:ind w:firstLine="420"/>
        <w:jc w:val="left"/>
      </w:pPr>
      <w:r>
        <w:t>(</w:t>
      </w:r>
      <w:r>
        <w:rPr>
          <w:rFonts w:hint="eastAsia"/>
        </w:rPr>
        <w:t>四</w:t>
      </w:r>
      <w:r>
        <w:t>)</w:t>
      </w:r>
      <w:r>
        <w:rPr>
          <w:rFonts w:hint="eastAsia"/>
        </w:rPr>
        <w:t>卖方不得以任何理由安排买方工作人员参加宴请及娱乐活动。</w:t>
      </w:r>
    </w:p>
    <w:p>
      <w:pPr>
        <w:spacing w:line="360" w:lineRule="auto"/>
        <w:ind w:firstLine="420"/>
        <w:jc w:val="left"/>
      </w:pPr>
      <w:r>
        <w:t>(</w:t>
      </w:r>
      <w:r>
        <w:rPr>
          <w:rFonts w:hint="eastAsia"/>
        </w:rPr>
        <w:t>五</w:t>
      </w:r>
      <w:r>
        <w:t>)</w:t>
      </w:r>
      <w:r>
        <w:rPr>
          <w:rFonts w:hint="eastAsia"/>
        </w:rPr>
        <w:t>卖方不得为买方单位和个人购置或提供通讯工具、交通工具和高档办公用品等。</w:t>
      </w:r>
    </w:p>
    <w:p>
      <w:pPr>
        <w:spacing w:line="360" w:lineRule="auto"/>
        <w:ind w:firstLine="420"/>
        <w:jc w:val="left"/>
      </w:pPr>
      <w:r>
        <w:rPr>
          <w:rFonts w:hint="eastAsia"/>
        </w:rPr>
        <w:t>第四条 违约责任</w:t>
      </w:r>
    </w:p>
    <w:p>
      <w:pPr>
        <w:spacing w:line="360" w:lineRule="auto"/>
        <w:ind w:firstLine="420"/>
        <w:jc w:val="left"/>
      </w:pPr>
      <w:r>
        <w:t>(</w:t>
      </w:r>
      <w:r>
        <w:rPr>
          <w:rFonts w:hint="eastAsia"/>
        </w:rPr>
        <w:t>一</w:t>
      </w:r>
      <w:r>
        <w:t>)</w:t>
      </w:r>
      <w:r>
        <w:rPr>
          <w:rFonts w:hint="eastAsia"/>
        </w:rPr>
        <w:t>买方及其工作人员违反本合同第一、二条，按管理权限，依据有关规定给予党纪、政纪或组织处理，涉嫌犯罪的，依送司法机关追究刑事责任，给卖方单位造成经济损失的，应予赔偿．</w:t>
      </w:r>
    </w:p>
    <w:p>
      <w:pPr>
        <w:spacing w:line="360" w:lineRule="auto"/>
        <w:ind w:firstLine="420"/>
        <w:jc w:val="left"/>
      </w:pPr>
      <w:r>
        <w:t>(</w:t>
      </w:r>
      <w:r>
        <w:rPr>
          <w:rFonts w:hint="eastAsia"/>
        </w:rPr>
        <w:t>二</w:t>
      </w:r>
      <w:r>
        <w:t>)</w:t>
      </w:r>
      <w:r>
        <w:rPr>
          <w:rFonts w:hint="eastAsia"/>
        </w:rPr>
        <w:t>卖方及其工作人员违反本合同第一、三条，按管理权限，依据有关规定，给予党纪、政纪或组织处理；给买方单位造成经济损失的，应予以赔偿；情节严重的，买方有权追究相关责任人的法律责任。</w:t>
      </w:r>
    </w:p>
    <w:p>
      <w:pPr>
        <w:spacing w:line="360" w:lineRule="auto"/>
        <w:ind w:firstLine="420"/>
        <w:jc w:val="left"/>
      </w:pPr>
      <w:r>
        <w:rPr>
          <w:rFonts w:hint="eastAsia"/>
        </w:rPr>
        <w:t>第五条 双方约定</w:t>
      </w:r>
    </w:p>
    <w:p>
      <w:pPr>
        <w:spacing w:line="360" w:lineRule="auto"/>
        <w:ind w:firstLine="420"/>
        <w:jc w:val="left"/>
      </w:pPr>
      <w:r>
        <w:rPr>
          <w:rFonts w:hint="eastAsia"/>
        </w:rPr>
        <w:t>本合同由相关纪检部门负责监督执行。纪检部门对本合同执行情况进行抽查，提出属本合同规定范围内的处理意见。</w:t>
      </w:r>
    </w:p>
    <w:p>
      <w:pPr>
        <w:spacing w:line="360" w:lineRule="auto"/>
        <w:ind w:firstLine="420"/>
        <w:jc w:val="left"/>
      </w:pPr>
      <w:r>
        <w:rPr>
          <w:rFonts w:hint="eastAsia"/>
        </w:rPr>
        <w:t>第六条 本合同有效期为甲、乙双方签署之日起至该项目费用支付完结时止。</w:t>
      </w:r>
    </w:p>
    <w:p>
      <w:pPr>
        <w:spacing w:line="360" w:lineRule="auto"/>
        <w:ind w:firstLine="420"/>
        <w:jc w:val="left"/>
      </w:pPr>
      <w:r>
        <w:rPr>
          <w:rFonts w:hint="eastAsia"/>
        </w:rPr>
        <w:t>本合同作为</w:t>
      </w:r>
      <w:r>
        <w:rPr>
          <w:rFonts w:hint="eastAsia"/>
          <w:u w:val="single"/>
        </w:rPr>
        <w:t>南通港码头管理有限公司</w:t>
      </w:r>
      <w:r>
        <w:rPr>
          <w:rFonts w:hint="eastAsia"/>
        </w:rPr>
        <w:t>采购项目合同的附件，与该合同具有同等的法律效力，经合同双方签署立即生效。</w:t>
      </w:r>
    </w:p>
    <w:p>
      <w:pPr>
        <w:spacing w:line="360" w:lineRule="auto"/>
        <w:ind w:firstLine="420"/>
        <w:jc w:val="left"/>
      </w:pPr>
      <w:r>
        <w:rPr>
          <w:rFonts w:hint="eastAsia"/>
        </w:rPr>
        <w:t>第七条 本合同甲、乙双方各执一份，送交监督单位</w:t>
      </w:r>
      <w:r>
        <w:t>—</w:t>
      </w:r>
      <w:r>
        <w:rPr>
          <w:rFonts w:hint="eastAsia"/>
        </w:rPr>
        <w:t>份。</w:t>
      </w: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p>
      <w:pPr>
        <w:spacing w:line="360" w:lineRule="auto"/>
        <w:jc w:val="left"/>
        <w:rPr>
          <w:rFonts w:ascii="宋体"/>
        </w:rPr>
      </w:pPr>
    </w:p>
    <w:bookmarkEnd w:id="185"/>
    <w:bookmarkEnd w:id="186"/>
    <w:bookmarkEnd w:id="187"/>
    <w:p>
      <w:pPr>
        <w:spacing w:line="460" w:lineRule="exact"/>
        <w:jc w:val="left"/>
        <w:rPr>
          <w:rFonts w:ascii="宋体" w:hAnsi="宋体" w:cs="宋体"/>
          <w:b/>
          <w:u w:val="single"/>
        </w:rPr>
      </w:pPr>
      <w:bookmarkStart w:id="188" w:name="_Toc317000561"/>
      <w:bookmarkStart w:id="189" w:name="_Toc318874028"/>
      <w:r>
        <w:rPr>
          <w:rFonts w:hint="eastAsia" w:ascii="宋体" w:hAnsi="宋体" w:cs="宋体"/>
        </w:rPr>
        <w:t>买方：</w:t>
      </w:r>
      <w:r>
        <w:rPr>
          <w:rFonts w:hint="eastAsia" w:ascii="宋体" w:hAnsi="宋体" w:cs="宋体"/>
          <w:b/>
          <w:u w:val="single"/>
        </w:rPr>
        <w:t>南通港码头管理有限公司</w:t>
      </w:r>
      <w:r>
        <w:rPr>
          <w:rFonts w:hint="eastAsia" w:ascii="宋体" w:hAnsi="宋体" w:cs="宋体"/>
          <w:b/>
          <w:u w:val="single"/>
          <w:lang w:val="en-US" w:eastAsia="zh-CN"/>
        </w:rPr>
        <w:t xml:space="preserve"> </w:t>
      </w:r>
      <w:r>
        <w:rPr>
          <w:rFonts w:hint="eastAsia" w:ascii="宋体" w:hAnsi="宋体" w:cs="宋体"/>
          <w:b/>
          <w:u w:val="none"/>
          <w:lang w:val="en-US" w:eastAsia="zh-CN"/>
        </w:rPr>
        <w:t xml:space="preserve">            </w:t>
      </w:r>
      <w:r>
        <w:rPr>
          <w:rFonts w:hint="eastAsia" w:ascii="宋体" w:hAnsi="宋体" w:cs="宋体"/>
        </w:rPr>
        <w:t>卖方：</w:t>
      </w:r>
    </w:p>
    <w:p>
      <w:pPr>
        <w:spacing w:line="460" w:lineRule="exact"/>
        <w:jc w:val="left"/>
        <w:rPr>
          <w:rFonts w:ascii="宋体"/>
        </w:rPr>
      </w:pPr>
      <w:r>
        <w:rPr>
          <w:rFonts w:hint="eastAsia" w:ascii="宋体" w:hAnsi="宋体" w:cs="宋体"/>
        </w:rPr>
        <w:t>法定代表人                               法定代表人</w:t>
      </w:r>
    </w:p>
    <w:p>
      <w:pPr>
        <w:spacing w:line="460" w:lineRule="exact"/>
        <w:jc w:val="left"/>
        <w:rPr>
          <w:rFonts w:ascii="宋体"/>
        </w:rPr>
      </w:pPr>
      <w:r>
        <w:rPr>
          <w:rFonts w:hint="eastAsia" w:ascii="宋体" w:hAnsi="宋体" w:cs="宋体"/>
        </w:rPr>
        <w:t>或其授权的代理人：</w:t>
      </w:r>
      <w:r>
        <w:rPr>
          <w:rFonts w:hint="eastAsia" w:ascii="仿宋" w:hAnsi="仿宋" w:eastAsia="仿宋" w:cs="Arial"/>
          <w:b/>
          <w:kern w:val="0"/>
          <w:sz w:val="24"/>
          <w:szCs w:val="24"/>
        </w:rPr>
        <w:t>（签字）</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或其授权的代理人：</w:t>
      </w:r>
      <w:r>
        <w:rPr>
          <w:rFonts w:hint="eastAsia" w:ascii="仿宋" w:hAnsi="仿宋" w:eastAsia="仿宋" w:cs="Arial"/>
          <w:b/>
          <w:kern w:val="0"/>
          <w:sz w:val="24"/>
          <w:szCs w:val="24"/>
        </w:rPr>
        <w:t>（签字）</w:t>
      </w:r>
    </w:p>
    <w:p>
      <w:pPr>
        <w:spacing w:line="460" w:lineRule="exact"/>
        <w:jc w:val="left"/>
        <w:rPr>
          <w:rFonts w:ascii="宋体" w:hAnsi="宋体" w:cs="宋体"/>
          <w:u w:val="single"/>
        </w:rPr>
      </w:pPr>
    </w:p>
    <w:p>
      <w:pPr>
        <w:spacing w:line="460" w:lineRule="exact"/>
        <w:ind w:firstLine="420" w:firstLineChars="200"/>
        <w:jc w:val="left"/>
        <w:rPr>
          <w:rFonts w:ascii="宋体" w:hAnsi="宋体" w:cs="宋体"/>
        </w:rPr>
      </w:pPr>
      <w:r>
        <w:rPr>
          <w:rFonts w:hint="eastAsia" w:ascii="宋体" w:hAnsi="宋体" w:cs="宋体"/>
        </w:rPr>
        <w:t>2021年   月    日                        2021年   月    日</w:t>
      </w:r>
    </w:p>
    <w:p>
      <w:pPr>
        <w:spacing w:line="400" w:lineRule="exact"/>
        <w:jc w:val="left"/>
        <w:rPr>
          <w:rFonts w:ascii="宋体" w:hAnsi="宋体"/>
        </w:rPr>
        <w:sectPr>
          <w:footerReference r:id="rId8" w:type="default"/>
          <w:pgSz w:w="11906" w:h="16838"/>
          <w:pgMar w:top="1418" w:right="1588" w:bottom="1418" w:left="1588" w:header="851" w:footer="992" w:gutter="0"/>
          <w:cols w:space="720" w:num="1"/>
          <w:docGrid w:linePitch="312" w:charSpace="0"/>
        </w:sectPr>
      </w:pPr>
    </w:p>
    <w:p>
      <w:pPr>
        <w:pStyle w:val="5"/>
        <w:spacing w:before="240"/>
      </w:pPr>
      <w:r>
        <w:rPr>
          <w:rFonts w:hint="eastAsia"/>
        </w:rPr>
        <w:t>附件五：安全生产合同</w:t>
      </w:r>
    </w:p>
    <w:p>
      <w:pPr>
        <w:spacing w:beforeLines="50"/>
        <w:jc w:val="center"/>
        <w:rPr>
          <w:rFonts w:ascii="黑体" w:eastAsia="黑体"/>
          <w:b/>
          <w:bCs/>
          <w:sz w:val="30"/>
          <w:szCs w:val="30"/>
        </w:rPr>
      </w:pPr>
      <w:r>
        <w:rPr>
          <w:rFonts w:hint="eastAsia" w:ascii="黑体" w:eastAsia="黑体" w:cs="黑体"/>
          <w:b/>
          <w:bCs/>
          <w:sz w:val="30"/>
          <w:szCs w:val="30"/>
        </w:rPr>
        <w:t>南通港码头管理有限公司高空作业平台（直臂式登高车）采购项目安全生产合同</w:t>
      </w:r>
    </w:p>
    <w:p>
      <w:pPr>
        <w:spacing w:beforeLines="100" w:line="360" w:lineRule="auto"/>
        <w:ind w:firstLine="420" w:firstLineChars="200"/>
        <w:jc w:val="left"/>
        <w:rPr>
          <w:rFonts w:ascii="宋体" w:hAnsi="宋体"/>
        </w:rPr>
      </w:pPr>
      <w:r>
        <w:rPr>
          <w:rFonts w:hint="eastAsia" w:ascii="宋体" w:hAnsi="宋体"/>
        </w:rPr>
        <w:t>为加强对南通港码头管理有限公司高空作业平台（直臂式登高车）采购项目管理，深入贯彻“安全第一，预防为主，综合治理”的安全生产方针，保证在作业区域内人员的职业安全健康，经甲、乙双方平等协商，现签定如下安全协议：</w:t>
      </w:r>
    </w:p>
    <w:p>
      <w:pPr>
        <w:spacing w:line="360" w:lineRule="auto"/>
        <w:ind w:firstLine="420"/>
        <w:jc w:val="left"/>
        <w:rPr>
          <w:rFonts w:ascii="宋体" w:hAnsi="宋体"/>
        </w:rPr>
      </w:pPr>
      <w:r>
        <w:rPr>
          <w:rFonts w:hint="eastAsia" w:ascii="宋体" w:hAnsi="宋体"/>
        </w:rPr>
        <w:t>一、人员培训：</w:t>
      </w:r>
    </w:p>
    <w:p>
      <w:pPr>
        <w:spacing w:line="360" w:lineRule="auto"/>
        <w:ind w:firstLine="420"/>
        <w:jc w:val="left"/>
        <w:rPr>
          <w:rFonts w:ascii="宋体" w:hAnsi="宋体"/>
        </w:rPr>
      </w:pPr>
      <w:r>
        <w:rPr>
          <w:rFonts w:ascii="宋体" w:hAnsi="宋体"/>
        </w:rPr>
        <w:t>1.</w:t>
      </w:r>
      <w:r>
        <w:rPr>
          <w:rFonts w:hint="eastAsia" w:ascii="宋体" w:hAnsi="宋体"/>
        </w:rPr>
        <w:t>卖方在进驻买方之前，须与买方交换双方安全规章制度，参与本项目的作业人员，必须经过买方安全培训后方可在卖方公司范围内从事外协相关工作。</w:t>
      </w:r>
    </w:p>
    <w:p>
      <w:pPr>
        <w:spacing w:line="360" w:lineRule="auto"/>
        <w:ind w:firstLine="420"/>
        <w:jc w:val="left"/>
        <w:rPr>
          <w:rFonts w:ascii="宋体" w:hAnsi="宋体"/>
        </w:rPr>
      </w:pPr>
      <w:r>
        <w:rPr>
          <w:rFonts w:hint="eastAsia" w:ascii="宋体" w:hAnsi="宋体"/>
        </w:rPr>
        <w:t>二、车辆、人员进出管理：</w:t>
      </w:r>
    </w:p>
    <w:p>
      <w:pPr>
        <w:spacing w:line="360" w:lineRule="auto"/>
        <w:ind w:firstLine="420"/>
        <w:jc w:val="left"/>
        <w:rPr>
          <w:rFonts w:ascii="宋体" w:hAnsi="宋体"/>
        </w:rPr>
      </w:pPr>
      <w:r>
        <w:rPr>
          <w:rFonts w:ascii="宋体" w:hAnsi="宋体"/>
        </w:rPr>
        <w:t>1.</w:t>
      </w:r>
      <w:r>
        <w:rPr>
          <w:rFonts w:hint="eastAsia" w:ascii="宋体" w:hAnsi="宋体"/>
        </w:rPr>
        <w:t>卖方车辆进入买方区域须在综合办公室办理“进港停车证”（进入范围限于行政区域）。需进入生产作业区的车辆必须在综合办公室办理“作业区域通行证”。卖方车辆、人员进出买方区域应积极配合保安门禁管理，做好人员进出登记及检查工作。</w:t>
      </w:r>
    </w:p>
    <w:p>
      <w:pPr>
        <w:spacing w:line="360" w:lineRule="auto"/>
        <w:ind w:firstLine="420"/>
        <w:jc w:val="left"/>
        <w:rPr>
          <w:rFonts w:ascii="宋体" w:hAnsi="宋体"/>
        </w:rPr>
      </w:pPr>
      <w:r>
        <w:rPr>
          <w:rFonts w:ascii="宋体" w:hAnsi="宋体"/>
        </w:rPr>
        <w:t>2.</w:t>
      </w:r>
      <w:r>
        <w:rPr>
          <w:rFonts w:hint="eastAsia" w:ascii="宋体" w:hAnsi="宋体"/>
        </w:rPr>
        <w:t>卖方进入本公司的车辆必须严格遵守本港交通道路规则，按规定的路线限速行驶（主干道直行不得超过</w:t>
      </w:r>
      <w:r>
        <w:rPr>
          <w:rFonts w:ascii="宋体" w:hAnsi="宋体"/>
        </w:rPr>
        <w:t>35km/h</w:t>
      </w:r>
      <w:r>
        <w:rPr>
          <w:rFonts w:hint="eastAsia" w:ascii="宋体" w:hAnsi="宋体"/>
        </w:rPr>
        <w:t>），箱区支干道、码头引桥不得超过</w:t>
      </w:r>
      <w:r>
        <w:rPr>
          <w:rFonts w:ascii="宋体" w:hAnsi="宋体"/>
        </w:rPr>
        <w:t>20km/h</w:t>
      </w:r>
      <w:r>
        <w:rPr>
          <w:rFonts w:hint="eastAsia" w:ascii="宋体" w:hAnsi="宋体"/>
        </w:rPr>
        <w:t>。进入本公司作业区域应注意避让过往集卡、通勤车辆，不得与其抢道。</w:t>
      </w:r>
    </w:p>
    <w:p>
      <w:pPr>
        <w:spacing w:line="360" w:lineRule="auto"/>
        <w:ind w:firstLine="420"/>
        <w:jc w:val="left"/>
        <w:rPr>
          <w:rFonts w:ascii="宋体" w:hAnsi="宋体"/>
        </w:rPr>
      </w:pPr>
      <w:r>
        <w:rPr>
          <w:rFonts w:ascii="宋体" w:hAnsi="宋体"/>
        </w:rPr>
        <w:t>3.</w:t>
      </w:r>
      <w:r>
        <w:rPr>
          <w:rFonts w:hint="eastAsia" w:ascii="宋体" w:hAnsi="宋体"/>
        </w:rPr>
        <w:t>卖方工作人员不得驾驶非机动车、助动车、摩托车或步行进入买方作业区域（箱区堆场、码头作业平台）。</w:t>
      </w:r>
    </w:p>
    <w:p>
      <w:pPr>
        <w:spacing w:line="360" w:lineRule="auto"/>
        <w:ind w:firstLine="420"/>
        <w:jc w:val="left"/>
        <w:rPr>
          <w:rFonts w:ascii="宋体" w:hAnsi="宋体"/>
        </w:rPr>
      </w:pPr>
      <w:r>
        <w:rPr>
          <w:rFonts w:ascii="宋体" w:hAnsi="宋体"/>
        </w:rPr>
        <w:t>4.</w:t>
      </w:r>
      <w:r>
        <w:rPr>
          <w:rFonts w:hint="eastAsia" w:ascii="宋体" w:hAnsi="宋体"/>
        </w:rPr>
        <w:t>卖方工作人员活动区域仅限在行政场地，不得随意进入买方其他作业区域。</w:t>
      </w:r>
    </w:p>
    <w:p>
      <w:pPr>
        <w:spacing w:line="360" w:lineRule="auto"/>
        <w:ind w:firstLine="420"/>
        <w:jc w:val="left"/>
        <w:rPr>
          <w:rFonts w:ascii="宋体" w:hAnsi="宋体"/>
        </w:rPr>
      </w:pPr>
      <w:r>
        <w:rPr>
          <w:rFonts w:hint="eastAsia" w:ascii="宋体" w:hAnsi="宋体"/>
        </w:rPr>
        <w:t>三、现场作业管理及环境卫生：</w:t>
      </w:r>
    </w:p>
    <w:p>
      <w:pPr>
        <w:spacing w:line="360" w:lineRule="auto"/>
        <w:ind w:firstLine="420"/>
        <w:jc w:val="left"/>
        <w:rPr>
          <w:rFonts w:ascii="宋体" w:hAnsi="宋体"/>
        </w:rPr>
      </w:pPr>
      <w:r>
        <w:rPr>
          <w:rFonts w:ascii="宋体" w:hAnsi="宋体"/>
        </w:rPr>
        <w:t>1.</w:t>
      </w:r>
      <w:r>
        <w:rPr>
          <w:rFonts w:hint="eastAsia" w:ascii="宋体" w:hAnsi="宋体"/>
        </w:rPr>
        <w:t>卖方工作人员进入买方作业区域内，严禁擅自动火、动电、动气餐饮烧作，严禁现场吸烟，严禁随意乱丢垃圾、杂物等，必须摆放在指定位置并及时清理，保持作业环境整洁卫生，文明生产。</w:t>
      </w:r>
    </w:p>
    <w:p>
      <w:pPr>
        <w:spacing w:line="360" w:lineRule="auto"/>
        <w:ind w:firstLine="420"/>
        <w:jc w:val="left"/>
        <w:rPr>
          <w:rFonts w:ascii="宋体" w:hAnsi="宋体"/>
        </w:rPr>
      </w:pPr>
      <w:r>
        <w:rPr>
          <w:rFonts w:ascii="宋体" w:hAnsi="宋体"/>
        </w:rPr>
        <w:t>2.</w:t>
      </w:r>
      <w:r>
        <w:rPr>
          <w:rFonts w:hint="eastAsia" w:ascii="宋体" w:hAnsi="宋体"/>
        </w:rPr>
        <w:t>卖方工作现场，应保持电器设备、装潢材料周边环境卫生。</w:t>
      </w:r>
    </w:p>
    <w:p>
      <w:pPr>
        <w:spacing w:line="360" w:lineRule="auto"/>
        <w:ind w:firstLine="420"/>
        <w:jc w:val="left"/>
        <w:rPr>
          <w:rFonts w:ascii="宋体" w:hAnsi="宋体"/>
        </w:rPr>
      </w:pPr>
      <w:r>
        <w:rPr>
          <w:rFonts w:ascii="宋体" w:hAnsi="宋体"/>
        </w:rPr>
        <w:t>3.</w:t>
      </w:r>
      <w:r>
        <w:rPr>
          <w:rFonts w:hint="eastAsia" w:ascii="宋体" w:hAnsi="宋体"/>
        </w:rPr>
        <w:t>卖方工作人员应自觉服从现场管理人员的指挥，不得打骂、侮辱码头工作人员。</w:t>
      </w:r>
    </w:p>
    <w:p>
      <w:pPr>
        <w:spacing w:line="360" w:lineRule="auto"/>
        <w:ind w:firstLine="420"/>
        <w:jc w:val="left"/>
        <w:rPr>
          <w:rFonts w:ascii="宋体" w:hAnsi="宋体"/>
        </w:rPr>
      </w:pPr>
      <w:r>
        <w:rPr>
          <w:rFonts w:ascii="宋体" w:hAnsi="宋体"/>
        </w:rPr>
        <w:t>4.</w:t>
      </w:r>
      <w:r>
        <w:rPr>
          <w:rFonts w:hint="eastAsia" w:ascii="宋体" w:hAnsi="宋体"/>
        </w:rPr>
        <w:t>卖方工作人员进入码头现场必须穿戴好劳防用品，落实人员作业防护措施，遵守岗位安全和技术操作规程。</w:t>
      </w:r>
    </w:p>
    <w:p>
      <w:pPr>
        <w:spacing w:line="360" w:lineRule="auto"/>
        <w:ind w:firstLine="420"/>
        <w:jc w:val="left"/>
        <w:rPr>
          <w:rFonts w:ascii="宋体" w:hAnsi="宋体"/>
        </w:rPr>
      </w:pPr>
      <w:r>
        <w:rPr>
          <w:rFonts w:ascii="宋体" w:hAnsi="宋体"/>
        </w:rPr>
        <w:t>5.</w:t>
      </w:r>
      <w:r>
        <w:rPr>
          <w:rFonts w:hint="eastAsia" w:ascii="宋体" w:hAnsi="宋体"/>
        </w:rPr>
        <w:t>明火作业时，需向买方申请填写动用明火申请表，同时要备足消防器材，落实好看火人。电气、焊作业必须按照相关电气、焊作业的管理规定执行。</w:t>
      </w:r>
    </w:p>
    <w:p>
      <w:pPr>
        <w:spacing w:line="360" w:lineRule="auto"/>
        <w:ind w:firstLine="420"/>
        <w:jc w:val="left"/>
        <w:rPr>
          <w:rFonts w:ascii="宋体" w:hAnsi="宋体"/>
        </w:rPr>
      </w:pPr>
      <w:r>
        <w:rPr>
          <w:rFonts w:ascii="宋体" w:hAnsi="宋体"/>
        </w:rPr>
        <w:t>6.</w:t>
      </w:r>
      <w:r>
        <w:rPr>
          <w:rFonts w:hint="eastAsia" w:ascii="宋体" w:hAnsi="宋体"/>
        </w:rPr>
        <w:t>卖方不得随意拆除买方场地的设备设施，如若需要及时向买方提出申请。</w:t>
      </w:r>
    </w:p>
    <w:p>
      <w:pPr>
        <w:spacing w:line="360" w:lineRule="auto"/>
        <w:ind w:firstLine="420"/>
        <w:jc w:val="left"/>
        <w:rPr>
          <w:rFonts w:ascii="宋体" w:hAnsi="宋体"/>
        </w:rPr>
      </w:pPr>
      <w:r>
        <w:rPr>
          <w:rFonts w:ascii="宋体" w:hAnsi="宋体"/>
        </w:rPr>
        <w:t>7.</w:t>
      </w:r>
      <w:r>
        <w:rPr>
          <w:rFonts w:hint="eastAsia" w:ascii="宋体" w:hAnsi="宋体"/>
        </w:rPr>
        <w:t>卖方在码头作业场地区域活动人员，不得随意进入买方库场、桥轮吊装卸关路等区域。</w:t>
      </w:r>
    </w:p>
    <w:p>
      <w:pPr>
        <w:spacing w:line="360" w:lineRule="auto"/>
        <w:ind w:firstLine="420"/>
        <w:jc w:val="left"/>
        <w:rPr>
          <w:rFonts w:ascii="宋体" w:hAnsi="宋体"/>
        </w:rPr>
      </w:pPr>
      <w:r>
        <w:rPr>
          <w:rFonts w:ascii="宋体" w:hAnsi="宋体"/>
        </w:rPr>
        <w:t>8.</w:t>
      </w:r>
      <w:r>
        <w:rPr>
          <w:rFonts w:hint="eastAsia" w:ascii="宋体" w:hAnsi="宋体"/>
        </w:rPr>
        <w:t>卖方所用流动机械在买方道路行驶时要遵守交通规则、注意交通安全，主动避让在港区道路上行驶的机动车。</w:t>
      </w:r>
    </w:p>
    <w:p>
      <w:pPr>
        <w:spacing w:line="360" w:lineRule="auto"/>
        <w:ind w:firstLine="420"/>
        <w:jc w:val="left"/>
        <w:rPr>
          <w:rFonts w:ascii="宋体" w:hAnsi="宋体"/>
        </w:rPr>
      </w:pPr>
      <w:r>
        <w:rPr>
          <w:rFonts w:hint="eastAsia" w:ascii="宋体" w:hAnsi="宋体"/>
        </w:rPr>
        <w:t>四、安全检查：</w:t>
      </w:r>
    </w:p>
    <w:p>
      <w:pPr>
        <w:spacing w:line="360" w:lineRule="auto"/>
        <w:ind w:firstLine="420"/>
        <w:jc w:val="left"/>
        <w:rPr>
          <w:rFonts w:ascii="宋体" w:hAnsi="宋体"/>
        </w:rPr>
      </w:pPr>
      <w:r>
        <w:rPr>
          <w:rFonts w:ascii="宋体" w:hAnsi="宋体"/>
        </w:rPr>
        <w:t>1.</w:t>
      </w:r>
      <w:r>
        <w:rPr>
          <w:rFonts w:hint="eastAsia" w:ascii="宋体" w:hAnsi="宋体"/>
        </w:rPr>
        <w:t>根据《安全生产法》，买方有权对卖方工作区域进行安全检查，有权对违章违纪现象参照买方相关规章制度进行处理。</w:t>
      </w:r>
    </w:p>
    <w:p>
      <w:pPr>
        <w:spacing w:line="360" w:lineRule="auto"/>
        <w:ind w:firstLine="420"/>
        <w:jc w:val="left"/>
        <w:rPr>
          <w:rFonts w:ascii="宋体" w:hAnsi="宋体"/>
        </w:rPr>
      </w:pPr>
      <w:r>
        <w:rPr>
          <w:rFonts w:ascii="宋体" w:hAnsi="宋体"/>
        </w:rPr>
        <w:t>2.</w:t>
      </w:r>
      <w:r>
        <w:rPr>
          <w:rFonts w:hint="eastAsia" w:ascii="宋体" w:hAnsi="宋体"/>
        </w:rPr>
        <w:t>买方开具的“隐患整改通知单”，卖方应在规定时限内完成整改。未能按照要求整改的，买方有权采取相关处罚措施，产生的一切后果由责任方承担。</w:t>
      </w:r>
    </w:p>
    <w:p>
      <w:pPr>
        <w:spacing w:line="360" w:lineRule="auto"/>
        <w:ind w:firstLine="420"/>
        <w:jc w:val="left"/>
        <w:rPr>
          <w:rFonts w:ascii="宋体" w:hAnsi="宋体"/>
        </w:rPr>
      </w:pPr>
      <w:r>
        <w:rPr>
          <w:rFonts w:hint="eastAsia" w:ascii="宋体" w:hAnsi="宋体"/>
        </w:rPr>
        <w:t>五、资质备案：</w:t>
      </w:r>
    </w:p>
    <w:p>
      <w:pPr>
        <w:spacing w:line="360" w:lineRule="auto"/>
        <w:ind w:firstLine="420"/>
        <w:jc w:val="left"/>
        <w:rPr>
          <w:rFonts w:ascii="宋体" w:hAnsi="宋体"/>
        </w:rPr>
      </w:pPr>
      <w:r>
        <w:rPr>
          <w:rFonts w:ascii="宋体" w:hAnsi="宋体"/>
        </w:rPr>
        <w:t>1.</w:t>
      </w:r>
      <w:r>
        <w:rPr>
          <w:rFonts w:hint="eastAsia" w:ascii="宋体" w:hAnsi="宋体"/>
        </w:rPr>
        <w:t>卖方应向买方提供相关作业资质，如：营业执照等。以及特种作业人员证书清单及复印件、卖方安全方面的管理制度、应急预案等。</w:t>
      </w:r>
    </w:p>
    <w:p>
      <w:pPr>
        <w:spacing w:line="360" w:lineRule="auto"/>
        <w:ind w:firstLine="420"/>
        <w:jc w:val="left"/>
        <w:rPr>
          <w:rFonts w:ascii="宋体" w:hAnsi="宋体"/>
        </w:rPr>
      </w:pPr>
      <w:r>
        <w:rPr>
          <w:rFonts w:hint="eastAsia" w:ascii="宋体" w:hAnsi="宋体"/>
        </w:rPr>
        <w:t>六．安全责任明确：</w:t>
      </w:r>
    </w:p>
    <w:p>
      <w:pPr>
        <w:spacing w:line="360" w:lineRule="auto"/>
        <w:ind w:firstLine="420"/>
        <w:jc w:val="left"/>
        <w:rPr>
          <w:rFonts w:ascii="宋体" w:hAnsi="宋体"/>
        </w:rPr>
      </w:pPr>
      <w:r>
        <w:rPr>
          <w:rFonts w:ascii="宋体" w:hAnsi="宋体"/>
        </w:rPr>
        <w:t>1.</w:t>
      </w:r>
      <w:r>
        <w:rPr>
          <w:rFonts w:hint="eastAsia" w:ascii="宋体" w:hAnsi="宋体"/>
        </w:rPr>
        <w:t>卖方在买方区域内生产作业，由于其自身管理不善造成的一切事故，事故后果及一切责任由卖方自行承担。</w:t>
      </w:r>
    </w:p>
    <w:p>
      <w:pPr>
        <w:spacing w:line="360" w:lineRule="auto"/>
        <w:ind w:firstLine="420"/>
        <w:jc w:val="left"/>
        <w:rPr>
          <w:rFonts w:ascii="宋体" w:hAnsi="宋体"/>
        </w:rPr>
      </w:pPr>
      <w:r>
        <w:rPr>
          <w:rFonts w:hint="eastAsia" w:ascii="宋体" w:hAnsi="宋体"/>
        </w:rPr>
        <w:t>七、明确项目安全管理负责人：</w:t>
      </w:r>
    </w:p>
    <w:p>
      <w:pPr>
        <w:spacing w:line="360" w:lineRule="auto"/>
        <w:ind w:firstLine="420"/>
        <w:jc w:val="left"/>
        <w:rPr>
          <w:rFonts w:ascii="宋体" w:hAnsi="宋体"/>
        </w:rPr>
      </w:pPr>
      <w:r>
        <w:rPr>
          <w:rFonts w:ascii="宋体" w:hAnsi="宋体"/>
        </w:rPr>
        <w:t>1.</w:t>
      </w:r>
      <w:r>
        <w:rPr>
          <w:rFonts w:hint="eastAsia" w:ascii="宋体" w:hAnsi="宋体"/>
        </w:rPr>
        <w:t>卖方应明确本项目安全管理负责人和联系方式，并向买方备案。</w:t>
      </w:r>
    </w:p>
    <w:p>
      <w:pPr>
        <w:spacing w:line="360" w:lineRule="auto"/>
        <w:ind w:firstLine="420"/>
        <w:jc w:val="left"/>
        <w:rPr>
          <w:rFonts w:ascii="宋体" w:hAnsi="宋体"/>
        </w:rPr>
      </w:pPr>
      <w:r>
        <w:rPr>
          <w:rFonts w:hint="eastAsia" w:ascii="宋体" w:hAnsi="宋体"/>
        </w:rPr>
        <w:t>安全生产风险抵押金：</w:t>
      </w:r>
    </w:p>
    <w:p>
      <w:pPr>
        <w:spacing w:line="360" w:lineRule="auto"/>
        <w:ind w:firstLine="420"/>
        <w:jc w:val="left"/>
        <w:rPr>
          <w:rFonts w:ascii="宋体" w:hAnsi="宋体"/>
        </w:rPr>
      </w:pPr>
      <w:r>
        <w:rPr>
          <w:rFonts w:ascii="宋体" w:hAnsi="宋体"/>
        </w:rPr>
        <w:t>1.</w:t>
      </w:r>
      <w:r>
        <w:rPr>
          <w:rFonts w:hint="eastAsia" w:ascii="宋体" w:hAnsi="宋体"/>
        </w:rPr>
        <w:t>卖方应向买方交纳安全风险抵押金元整，用于本项目的安全生产管理。项目结束后，买方即返还。</w:t>
      </w:r>
    </w:p>
    <w:p>
      <w:pPr>
        <w:adjustRightInd w:val="0"/>
        <w:snapToGrid w:val="0"/>
        <w:spacing w:beforeLines="15" w:afterLines="15" w:line="360" w:lineRule="auto"/>
        <w:jc w:val="left"/>
        <w:rPr>
          <w:rFonts w:ascii="宋体"/>
        </w:rPr>
      </w:pPr>
    </w:p>
    <w:p>
      <w:pPr>
        <w:adjustRightInd w:val="0"/>
        <w:snapToGrid w:val="0"/>
        <w:spacing w:beforeLines="15" w:afterLines="15" w:line="360" w:lineRule="auto"/>
        <w:jc w:val="left"/>
        <w:rPr>
          <w:rFonts w:ascii="宋体"/>
        </w:rPr>
      </w:pPr>
    </w:p>
    <w:p>
      <w:pPr>
        <w:adjustRightInd w:val="0"/>
        <w:snapToGrid w:val="0"/>
        <w:spacing w:beforeLines="15" w:afterLines="15" w:line="360" w:lineRule="auto"/>
        <w:jc w:val="left"/>
        <w:rPr>
          <w:rFonts w:ascii="宋体"/>
        </w:rPr>
      </w:pPr>
    </w:p>
    <w:p>
      <w:pPr>
        <w:spacing w:line="460" w:lineRule="exact"/>
        <w:jc w:val="left"/>
        <w:rPr>
          <w:rFonts w:ascii="宋体" w:hAnsi="宋体" w:cs="宋体"/>
          <w:u w:val="single"/>
        </w:rPr>
      </w:pPr>
      <w:r>
        <w:rPr>
          <w:rFonts w:hint="eastAsia" w:ascii="宋体" w:hAnsi="宋体" w:cs="宋体"/>
        </w:rPr>
        <w:t>买方：</w:t>
      </w:r>
      <w:r>
        <w:rPr>
          <w:rFonts w:hint="eastAsia" w:ascii="宋体" w:hAnsi="宋体" w:cs="宋体"/>
          <w:b/>
          <w:u w:val="single"/>
        </w:rPr>
        <w:t>南通港码头管理有限公司</w:t>
      </w:r>
      <w:r>
        <w:rPr>
          <w:rFonts w:hint="eastAsia" w:ascii="宋体" w:hAnsi="宋体" w:cs="宋体"/>
          <w:b/>
          <w:u w:val="single"/>
          <w:lang w:val="en-US" w:eastAsia="zh-CN"/>
        </w:rPr>
        <w:t xml:space="preserve"> </w:t>
      </w:r>
      <w:r>
        <w:rPr>
          <w:rFonts w:hint="eastAsia" w:ascii="宋体" w:hAnsi="宋体" w:cs="宋体"/>
          <w:b/>
          <w:u w:val="none"/>
          <w:lang w:val="en-US" w:eastAsia="zh-CN"/>
        </w:rPr>
        <w:t xml:space="preserve">            </w:t>
      </w:r>
      <w:r>
        <w:rPr>
          <w:rFonts w:hint="eastAsia" w:ascii="宋体" w:hAnsi="宋体" w:cs="宋体"/>
        </w:rPr>
        <w:t>卖方：</w:t>
      </w:r>
    </w:p>
    <w:p>
      <w:pPr>
        <w:spacing w:line="460" w:lineRule="exact"/>
        <w:jc w:val="left"/>
        <w:rPr>
          <w:rFonts w:ascii="宋体"/>
        </w:rPr>
      </w:pPr>
      <w:r>
        <w:rPr>
          <w:rFonts w:hint="eastAsia" w:ascii="宋体" w:hAnsi="宋体" w:cs="宋体"/>
        </w:rPr>
        <w:t>法定代表人                                法定代表人</w:t>
      </w:r>
    </w:p>
    <w:p>
      <w:pPr>
        <w:spacing w:line="460" w:lineRule="exact"/>
        <w:jc w:val="left"/>
        <w:rPr>
          <w:rFonts w:ascii="宋体"/>
        </w:rPr>
      </w:pPr>
      <w:r>
        <w:rPr>
          <w:rFonts w:hint="eastAsia" w:ascii="宋体" w:hAnsi="宋体" w:cs="宋体"/>
        </w:rPr>
        <w:t>或其授权的代理人：</w:t>
      </w:r>
      <w:r>
        <w:rPr>
          <w:rFonts w:hint="eastAsia" w:ascii="仿宋" w:hAnsi="仿宋" w:eastAsia="仿宋" w:cs="Arial"/>
          <w:b/>
          <w:kern w:val="0"/>
          <w:sz w:val="24"/>
          <w:szCs w:val="24"/>
        </w:rPr>
        <w:t>（签字）</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或其授权的代理人：</w:t>
      </w:r>
      <w:r>
        <w:rPr>
          <w:rFonts w:hint="eastAsia" w:ascii="仿宋" w:hAnsi="仿宋" w:eastAsia="仿宋" w:cs="Arial"/>
          <w:b/>
          <w:kern w:val="0"/>
          <w:sz w:val="24"/>
          <w:szCs w:val="24"/>
        </w:rPr>
        <w:t>（签字）</w:t>
      </w:r>
    </w:p>
    <w:p>
      <w:pPr>
        <w:spacing w:line="460" w:lineRule="exact"/>
        <w:jc w:val="left"/>
        <w:rPr>
          <w:rFonts w:ascii="宋体" w:hAnsi="宋体" w:cs="宋体"/>
          <w:u w:val="single"/>
        </w:rPr>
      </w:pPr>
    </w:p>
    <w:p>
      <w:pPr>
        <w:spacing w:line="460" w:lineRule="exact"/>
        <w:ind w:firstLine="210" w:firstLineChars="100"/>
        <w:jc w:val="left"/>
        <w:rPr>
          <w:rFonts w:ascii="宋体"/>
        </w:rPr>
      </w:pPr>
      <w:r>
        <w:rPr>
          <w:rFonts w:hint="eastAsia" w:ascii="宋体" w:hAnsi="宋体" w:cs="宋体"/>
        </w:rPr>
        <w:t>2021年   月    日                        2021年   月    日</w:t>
      </w:r>
    </w:p>
    <w:p>
      <w:pPr>
        <w:adjustRightInd w:val="0"/>
        <w:snapToGrid w:val="0"/>
        <w:spacing w:beforeLines="15" w:afterLines="15" w:line="360" w:lineRule="auto"/>
        <w:jc w:val="left"/>
        <w:rPr>
          <w:rFonts w:ascii="宋体"/>
        </w:rPr>
        <w:sectPr>
          <w:pgSz w:w="11906" w:h="16838"/>
          <w:pgMar w:top="1418" w:right="1588" w:bottom="1418" w:left="1588" w:header="851" w:footer="992" w:gutter="0"/>
          <w:cols w:space="720" w:num="1"/>
          <w:docGrid w:linePitch="312" w:charSpace="0"/>
        </w:sectPr>
      </w:pPr>
    </w:p>
    <w:bookmarkEnd w:id="156"/>
    <w:bookmarkEnd w:id="157"/>
    <w:bookmarkEnd w:id="158"/>
    <w:bookmarkEnd w:id="159"/>
    <w:bookmarkEnd w:id="188"/>
    <w:bookmarkEnd w:id="189"/>
    <w:p>
      <w:pPr>
        <w:keepNext/>
        <w:keepLines/>
        <w:spacing w:beforeLines="100" w:afterLines="100" w:line="520" w:lineRule="exact"/>
        <w:jc w:val="center"/>
        <w:outlineLvl w:val="0"/>
        <w:rPr>
          <w:rFonts w:ascii="Arial Black" w:hAnsi="Arial Black" w:eastAsia="华文中宋"/>
          <w:kern w:val="44"/>
          <w:sz w:val="44"/>
          <w:szCs w:val="44"/>
        </w:rPr>
      </w:pPr>
      <w:bookmarkStart w:id="190" w:name="_Toc120614281"/>
      <w:bookmarkStart w:id="191" w:name="_Toc26554093"/>
      <w:bookmarkStart w:id="192" w:name="_Toc49090575"/>
      <w:r>
        <w:rPr>
          <w:rFonts w:hint="eastAsia" w:ascii="Arial Black" w:hAnsi="Arial Black" w:eastAsia="楷体_GB2312"/>
          <w:b/>
          <w:bCs/>
          <w:kern w:val="44"/>
          <w:sz w:val="44"/>
          <w:szCs w:val="44"/>
        </w:rPr>
        <w:t>第四章 技术规格及要求</w:t>
      </w:r>
    </w:p>
    <w:p>
      <w:pPr>
        <w:jc w:val="center"/>
        <w:rPr>
          <w:sz w:val="24"/>
          <w:szCs w:val="24"/>
        </w:rPr>
      </w:pPr>
      <w:r>
        <w:rPr>
          <w:rFonts w:hint="eastAsia"/>
          <w:sz w:val="24"/>
          <w:szCs w:val="24"/>
        </w:rPr>
        <w:t>（技术规格书）</w:t>
      </w:r>
    </w:p>
    <w:p>
      <w:pPr>
        <w:keepNext/>
        <w:spacing w:beforeLines="100" w:line="480" w:lineRule="exact"/>
        <w:ind w:left="561"/>
        <w:jc w:val="left"/>
        <w:outlineLvl w:val="2"/>
        <w:rPr>
          <w:rFonts w:ascii="Arial" w:hAnsi="Arial" w:eastAsia="仿宋_GB2312"/>
          <w:b/>
          <w:snapToGrid w:val="0"/>
          <w:kern w:val="0"/>
          <w:sz w:val="28"/>
          <w:szCs w:val="24"/>
        </w:rPr>
      </w:pPr>
      <w:bookmarkStart w:id="193" w:name="_Toc423512269"/>
      <w:bookmarkStart w:id="194" w:name="_Toc295745775"/>
      <w:bookmarkStart w:id="195" w:name="_Toc174419661"/>
      <w:r>
        <w:rPr>
          <w:rFonts w:hint="eastAsia" w:ascii="Arial" w:hAnsi="Arial" w:eastAsia="仿宋_GB2312"/>
          <w:b/>
          <w:snapToGrid w:val="0"/>
          <w:kern w:val="0"/>
          <w:sz w:val="28"/>
          <w:szCs w:val="24"/>
        </w:rPr>
        <w:t>1 总则</w:t>
      </w:r>
      <w:bookmarkEnd w:id="193"/>
      <w:bookmarkEnd w:id="194"/>
      <w:bookmarkEnd w:id="195"/>
    </w:p>
    <w:p>
      <w:pPr>
        <w:spacing w:line="460" w:lineRule="exact"/>
        <w:ind w:left="959" w:leftChars="228" w:hanging="480" w:hangingChars="200"/>
        <w:jc w:val="left"/>
        <w:rPr>
          <w:rFonts w:ascii="宋体" w:hAnsi="宋体"/>
          <w:sz w:val="24"/>
          <w:szCs w:val="24"/>
        </w:rPr>
      </w:pPr>
      <w:r>
        <w:rPr>
          <w:rFonts w:ascii="宋体" w:hAnsi="宋体"/>
          <w:sz w:val="24"/>
          <w:szCs w:val="24"/>
        </w:rPr>
        <w:t>1.</w:t>
      </w:r>
      <w:r>
        <w:rPr>
          <w:rFonts w:hint="eastAsia" w:ascii="宋体" w:hAnsi="宋体"/>
          <w:sz w:val="24"/>
          <w:szCs w:val="24"/>
        </w:rPr>
        <w:t>1 技术规格书（以下简称“规格书”）对拟购32米高空作业平台在功能、性能、结构等方面提出了具体技术要求。投标人应在满足规格书的基础上，提供结构先进、功能完善、性能优良、安全可靠、方便使用和维护的优质产品。</w:t>
      </w:r>
    </w:p>
    <w:p>
      <w:pPr>
        <w:spacing w:line="460" w:lineRule="exact"/>
        <w:ind w:left="959" w:leftChars="228" w:hanging="480" w:hangingChars="200"/>
        <w:jc w:val="left"/>
        <w:rPr>
          <w:rFonts w:ascii="宋体" w:hAnsi="宋体"/>
          <w:sz w:val="24"/>
          <w:szCs w:val="24"/>
        </w:rPr>
      </w:pPr>
      <w:r>
        <w:rPr>
          <w:rFonts w:ascii="宋体" w:hAnsi="宋体"/>
          <w:sz w:val="24"/>
          <w:szCs w:val="24"/>
        </w:rPr>
        <w:t>1.</w:t>
      </w:r>
      <w:r>
        <w:rPr>
          <w:rFonts w:hint="eastAsia" w:ascii="宋体" w:hAnsi="宋体"/>
          <w:sz w:val="24"/>
          <w:szCs w:val="24"/>
        </w:rPr>
        <w:t>2投标人的投标货物应是中国大陆生产的成熟产品，并且具有良好的技术支持、销售业绩、售后服务和配件供应。</w:t>
      </w:r>
    </w:p>
    <w:p>
      <w:pPr>
        <w:spacing w:line="460" w:lineRule="exact"/>
        <w:ind w:left="959" w:leftChars="228" w:hanging="480" w:hangingChars="200"/>
        <w:jc w:val="left"/>
        <w:rPr>
          <w:rFonts w:ascii="宋体" w:hAnsi="宋体"/>
          <w:sz w:val="24"/>
          <w:szCs w:val="24"/>
        </w:rPr>
      </w:pPr>
    </w:p>
    <w:p>
      <w:pPr>
        <w:keepNext/>
        <w:spacing w:beforeLines="100" w:line="480" w:lineRule="exact"/>
        <w:ind w:firstLine="562" w:firstLineChars="200"/>
        <w:jc w:val="left"/>
        <w:outlineLvl w:val="2"/>
        <w:rPr>
          <w:rFonts w:ascii="Arial" w:hAnsi="Arial" w:eastAsia="华文中宋"/>
          <w:bCs/>
          <w:snapToGrid w:val="0"/>
          <w:kern w:val="0"/>
          <w:sz w:val="28"/>
          <w:szCs w:val="28"/>
        </w:rPr>
      </w:pPr>
      <w:bookmarkStart w:id="196" w:name="_Toc295745776"/>
      <w:bookmarkStart w:id="197" w:name="_Toc174419662"/>
      <w:bookmarkStart w:id="198" w:name="_Toc423512270"/>
      <w:r>
        <w:rPr>
          <w:rFonts w:hint="eastAsia" w:ascii="Arial" w:hAnsi="Arial" w:eastAsia="仿宋_GB2312"/>
          <w:b/>
          <w:snapToGrid w:val="0"/>
          <w:kern w:val="0"/>
          <w:sz w:val="28"/>
          <w:szCs w:val="24"/>
        </w:rPr>
        <w:t>2 使用现场的条件</w:t>
      </w:r>
      <w:bookmarkEnd w:id="196"/>
      <w:bookmarkEnd w:id="197"/>
      <w:bookmarkEnd w:id="198"/>
    </w:p>
    <w:p>
      <w:pPr>
        <w:spacing w:line="460" w:lineRule="exact"/>
        <w:ind w:firstLine="480" w:firstLineChars="200"/>
        <w:jc w:val="left"/>
        <w:rPr>
          <w:rFonts w:ascii="宋体" w:hAnsi="宋体"/>
          <w:sz w:val="24"/>
          <w:szCs w:val="24"/>
        </w:rPr>
      </w:pPr>
      <w:r>
        <w:rPr>
          <w:rFonts w:hint="eastAsia" w:ascii="宋体" w:hAnsi="宋体"/>
          <w:sz w:val="24"/>
          <w:szCs w:val="24"/>
        </w:rPr>
        <w:t>2.1 自然条件</w:t>
      </w:r>
    </w:p>
    <w:p>
      <w:pPr>
        <w:spacing w:line="460" w:lineRule="exact"/>
        <w:ind w:left="525" w:leftChars="250" w:firstLine="480" w:firstLineChars="200"/>
        <w:jc w:val="left"/>
        <w:rPr>
          <w:rFonts w:ascii="华文中宋" w:hAnsi="华文中宋" w:eastAsia="华文中宋"/>
          <w:b/>
          <w:bCs/>
          <w:sz w:val="24"/>
          <w:szCs w:val="24"/>
        </w:rPr>
      </w:pPr>
      <w:r>
        <w:rPr>
          <w:rFonts w:hint="eastAsia" w:ascii="华文中宋" w:hAnsi="华文中宋" w:eastAsia="华文中宋"/>
          <w:b/>
          <w:bCs/>
          <w:sz w:val="24"/>
          <w:szCs w:val="24"/>
        </w:rPr>
        <w:t>气温</w:t>
      </w:r>
    </w:p>
    <w:p>
      <w:pPr>
        <w:spacing w:line="460" w:lineRule="exact"/>
        <w:ind w:left="1050" w:leftChars="500" w:firstLine="480" w:firstLineChars="200"/>
        <w:jc w:val="left"/>
        <w:rPr>
          <w:rFonts w:ascii="宋体" w:hAnsi="宋体"/>
          <w:bCs/>
          <w:sz w:val="24"/>
          <w:szCs w:val="24"/>
        </w:rPr>
      </w:pPr>
      <w:r>
        <w:rPr>
          <w:rFonts w:hint="eastAsia" w:ascii="宋体" w:hAnsi="宋体"/>
          <w:bCs/>
          <w:sz w:val="24"/>
          <w:szCs w:val="24"/>
        </w:rPr>
        <w:t>最高气温：  45℃（对设备考虑：60℃）</w:t>
      </w:r>
    </w:p>
    <w:p>
      <w:pPr>
        <w:spacing w:line="460" w:lineRule="exact"/>
        <w:ind w:left="1050" w:leftChars="500" w:firstLine="480" w:firstLineChars="200"/>
        <w:jc w:val="left"/>
        <w:rPr>
          <w:rFonts w:ascii="宋体" w:hAnsi="宋体"/>
          <w:bCs/>
          <w:sz w:val="24"/>
          <w:szCs w:val="24"/>
        </w:rPr>
      </w:pPr>
      <w:r>
        <w:rPr>
          <w:rFonts w:hint="eastAsia" w:ascii="宋体" w:hAnsi="宋体"/>
          <w:bCs/>
          <w:sz w:val="24"/>
          <w:szCs w:val="24"/>
        </w:rPr>
        <w:t>最低气温：</w:t>
      </w:r>
      <w:r>
        <w:rPr>
          <w:rFonts w:ascii="宋体" w:hAnsi="宋体"/>
          <w:bCs/>
          <w:sz w:val="24"/>
          <w:szCs w:val="24"/>
        </w:rPr>
        <w:t xml:space="preserve">- </w:t>
      </w:r>
      <w:r>
        <w:rPr>
          <w:rFonts w:hint="eastAsia" w:ascii="宋体" w:hAnsi="宋体"/>
          <w:bCs/>
          <w:sz w:val="24"/>
          <w:szCs w:val="24"/>
        </w:rPr>
        <w:t>10℃（对设备考虑：-15℃）</w:t>
      </w:r>
    </w:p>
    <w:p>
      <w:pPr>
        <w:spacing w:line="460" w:lineRule="exact"/>
        <w:ind w:left="525" w:leftChars="250" w:firstLine="480" w:firstLineChars="200"/>
        <w:jc w:val="left"/>
        <w:rPr>
          <w:rFonts w:ascii="华文中宋" w:hAnsi="华文中宋" w:eastAsia="华文中宋"/>
          <w:b/>
          <w:bCs/>
          <w:sz w:val="24"/>
          <w:szCs w:val="24"/>
        </w:rPr>
      </w:pPr>
      <w:r>
        <w:rPr>
          <w:rFonts w:hint="eastAsia" w:ascii="华文中宋" w:hAnsi="华文中宋" w:eastAsia="华文中宋"/>
          <w:b/>
          <w:bCs/>
          <w:sz w:val="24"/>
          <w:szCs w:val="24"/>
        </w:rPr>
        <w:t>湿度</w:t>
      </w:r>
    </w:p>
    <w:p>
      <w:pPr>
        <w:spacing w:line="460" w:lineRule="exact"/>
        <w:ind w:left="1050" w:leftChars="500" w:firstLine="480" w:firstLineChars="200"/>
        <w:jc w:val="left"/>
        <w:rPr>
          <w:rFonts w:ascii="宋体" w:hAnsi="宋体"/>
          <w:bCs/>
          <w:sz w:val="24"/>
          <w:szCs w:val="24"/>
        </w:rPr>
      </w:pPr>
      <w:r>
        <w:rPr>
          <w:rFonts w:hint="eastAsia" w:ascii="宋体" w:hAnsi="宋体"/>
          <w:bCs/>
          <w:sz w:val="24"/>
          <w:szCs w:val="24"/>
        </w:rPr>
        <w:t xml:space="preserve">最大湿度：      </w:t>
      </w:r>
      <w:r>
        <w:rPr>
          <w:rFonts w:ascii="宋体" w:hAnsi="宋体"/>
          <w:bCs/>
          <w:sz w:val="24"/>
          <w:szCs w:val="24"/>
        </w:rPr>
        <w:t>100</w:t>
      </w:r>
      <w:r>
        <w:rPr>
          <w:rFonts w:hint="eastAsia" w:ascii="宋体" w:hAnsi="宋体"/>
          <w:bCs/>
          <w:sz w:val="24"/>
          <w:szCs w:val="24"/>
        </w:rPr>
        <w:t>％</w:t>
      </w:r>
    </w:p>
    <w:p>
      <w:pPr>
        <w:spacing w:line="460" w:lineRule="exact"/>
        <w:ind w:left="1050" w:leftChars="500" w:firstLine="480" w:firstLineChars="200"/>
        <w:jc w:val="left"/>
        <w:rPr>
          <w:rFonts w:ascii="宋体" w:hAnsi="宋体"/>
          <w:bCs/>
          <w:sz w:val="24"/>
          <w:szCs w:val="24"/>
        </w:rPr>
      </w:pPr>
      <w:r>
        <w:rPr>
          <w:rFonts w:hint="eastAsia" w:ascii="宋体" w:hAnsi="宋体"/>
          <w:bCs/>
          <w:sz w:val="24"/>
          <w:szCs w:val="24"/>
        </w:rPr>
        <w:t>年平均相对湿度：</w:t>
      </w:r>
      <w:r>
        <w:rPr>
          <w:rFonts w:ascii="宋体" w:hAnsi="宋体"/>
          <w:bCs/>
          <w:sz w:val="24"/>
          <w:szCs w:val="24"/>
        </w:rPr>
        <w:t>90</w:t>
      </w:r>
      <w:r>
        <w:rPr>
          <w:rFonts w:hint="eastAsia" w:ascii="宋体" w:hAnsi="宋体"/>
          <w:bCs/>
          <w:sz w:val="24"/>
          <w:szCs w:val="24"/>
        </w:rPr>
        <w:t>％</w:t>
      </w:r>
    </w:p>
    <w:p>
      <w:pPr>
        <w:spacing w:line="460" w:lineRule="exact"/>
        <w:ind w:left="525" w:leftChars="250" w:firstLine="480" w:firstLineChars="200"/>
        <w:jc w:val="left"/>
        <w:rPr>
          <w:rFonts w:ascii="宋体" w:hAnsi="宋体"/>
          <w:b/>
          <w:bCs/>
          <w:sz w:val="24"/>
          <w:szCs w:val="24"/>
        </w:rPr>
      </w:pPr>
      <w:r>
        <w:rPr>
          <w:rFonts w:hint="eastAsia" w:ascii="华文中宋" w:hAnsi="华文中宋" w:eastAsia="华文中宋"/>
          <w:b/>
          <w:bCs/>
          <w:sz w:val="24"/>
          <w:szCs w:val="24"/>
        </w:rPr>
        <w:t>气候条件</w:t>
      </w:r>
    </w:p>
    <w:p>
      <w:pPr>
        <w:spacing w:line="460" w:lineRule="exact"/>
        <w:ind w:left="1050" w:leftChars="500" w:firstLine="480" w:firstLineChars="200"/>
        <w:jc w:val="left"/>
        <w:rPr>
          <w:rFonts w:ascii="宋体" w:hAnsi="宋体"/>
          <w:bCs/>
          <w:sz w:val="24"/>
          <w:szCs w:val="24"/>
        </w:rPr>
      </w:pPr>
      <w:r>
        <w:rPr>
          <w:rFonts w:hint="eastAsia" w:ascii="宋体" w:hAnsi="宋体"/>
          <w:bCs/>
          <w:sz w:val="24"/>
          <w:szCs w:val="24"/>
        </w:rPr>
        <w:t>有雾气、雷暴和海洋性气候侵蚀。</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2.2 使用现场环境粉尘多，有较强的腐蚀性货物（含钠.钾盐的化肥）粉尘的侵蚀.库房内通风条件差。</w:t>
      </w:r>
    </w:p>
    <w:p>
      <w:pPr>
        <w:keepNext/>
        <w:spacing w:beforeLines="100" w:line="480" w:lineRule="exact"/>
        <w:ind w:left="561"/>
        <w:jc w:val="left"/>
        <w:outlineLvl w:val="2"/>
        <w:rPr>
          <w:rFonts w:ascii="Arial" w:hAnsi="Arial" w:eastAsia="仿宋_GB2312"/>
          <w:b/>
          <w:snapToGrid w:val="0"/>
          <w:kern w:val="0"/>
          <w:sz w:val="28"/>
          <w:szCs w:val="24"/>
        </w:rPr>
        <w:sectPr>
          <w:footerReference r:id="rId10" w:type="first"/>
          <w:footerReference r:id="rId9" w:type="default"/>
          <w:pgSz w:w="11906" w:h="16838"/>
          <w:pgMar w:top="1418" w:right="1588" w:bottom="1418" w:left="1365" w:header="851" w:footer="907" w:gutter="0"/>
          <w:cols w:space="720" w:num="1"/>
          <w:titlePg/>
          <w:docGrid w:type="lines" w:linePitch="290" w:charSpace="0"/>
        </w:sectPr>
      </w:pPr>
      <w:bookmarkStart w:id="199" w:name="_Toc174419663"/>
      <w:bookmarkStart w:id="200" w:name="_Toc295745777"/>
      <w:bookmarkStart w:id="201" w:name="_Toc423512271"/>
      <w:r>
        <w:rPr>
          <w:rFonts w:hint="eastAsia" w:ascii="Arial" w:hAnsi="Arial" w:eastAsia="仿宋_GB2312"/>
          <w:b/>
          <w:snapToGrid w:val="0"/>
          <w:kern w:val="0"/>
          <w:sz w:val="28"/>
          <w:szCs w:val="24"/>
        </w:rPr>
        <w:t>3 主要技术性能要求</w:t>
      </w:r>
      <w:bookmarkEnd w:id="199"/>
      <w:bookmarkEnd w:id="200"/>
      <w:bookmarkEnd w:id="201"/>
      <w:r>
        <w:rPr>
          <w:rFonts w:hint="eastAsia" w:ascii="Arial" w:hAnsi="Arial" w:eastAsia="仿宋_GB2312"/>
          <w:b/>
          <w:snapToGrid w:val="0"/>
          <w:kern w:val="0"/>
          <w:sz w:val="28"/>
          <w:szCs w:val="24"/>
        </w:rPr>
        <w:t>（详见下表，技术要求栏中*号性能参数为必须满足项，不能满足的为废标）</w:t>
      </w:r>
    </w:p>
    <w:p>
      <w:pPr>
        <w:pStyle w:val="2"/>
        <w:jc w:val="center"/>
        <w:rPr>
          <w:rFonts w:eastAsia="仿宋_GB2312"/>
        </w:rPr>
      </w:pPr>
      <w:r>
        <w:rPr>
          <w:rFonts w:hint="eastAsia" w:ascii="Arial" w:eastAsia="仿宋_GB2312"/>
          <w:b/>
          <w:snapToGrid w:val="0"/>
          <w:kern w:val="0"/>
          <w:szCs w:val="24"/>
        </w:rPr>
        <w:t>主要技术性能要求表</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3960"/>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62" w:type="dxa"/>
            <w:vAlign w:val="center"/>
          </w:tcPr>
          <w:p>
            <w:pPr>
              <w:jc w:val="center"/>
              <w:rPr>
                <w:rFonts w:eastAsiaTheme="minorEastAsia"/>
                <w:b/>
                <w:bCs/>
                <w:sz w:val="24"/>
                <w:szCs w:val="24"/>
              </w:rPr>
            </w:pPr>
            <w:r>
              <w:rPr>
                <w:rFonts w:hint="eastAsia"/>
                <w:b/>
                <w:bCs/>
                <w:sz w:val="24"/>
                <w:szCs w:val="24"/>
              </w:rPr>
              <w:t>序号</w:t>
            </w:r>
          </w:p>
        </w:tc>
        <w:tc>
          <w:tcPr>
            <w:tcW w:w="3960" w:type="dxa"/>
            <w:vAlign w:val="center"/>
          </w:tcPr>
          <w:p>
            <w:pPr>
              <w:jc w:val="center"/>
              <w:rPr>
                <w:rFonts w:eastAsiaTheme="minorEastAsia"/>
                <w:b/>
                <w:bCs/>
                <w:sz w:val="24"/>
                <w:szCs w:val="24"/>
              </w:rPr>
            </w:pPr>
            <w:r>
              <w:rPr>
                <w:rFonts w:hint="eastAsia"/>
                <w:b/>
                <w:bCs/>
                <w:sz w:val="24"/>
                <w:szCs w:val="24"/>
              </w:rPr>
              <w:t>项目名称</w:t>
            </w:r>
          </w:p>
        </w:tc>
        <w:tc>
          <w:tcPr>
            <w:tcW w:w="3500" w:type="dxa"/>
            <w:vAlign w:val="center"/>
          </w:tcPr>
          <w:p>
            <w:pPr>
              <w:jc w:val="center"/>
              <w:rPr>
                <w:rFonts w:eastAsiaTheme="minorEastAsia"/>
                <w:b/>
                <w:bCs/>
                <w:sz w:val="24"/>
                <w:szCs w:val="24"/>
              </w:rPr>
            </w:pPr>
            <w:r>
              <w:rPr>
                <w:rFonts w:hint="eastAsia"/>
                <w:b/>
                <w:bCs/>
                <w:sz w:val="24"/>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w:t>
            </w:r>
          </w:p>
        </w:tc>
        <w:tc>
          <w:tcPr>
            <w:tcW w:w="3960" w:type="dxa"/>
            <w:vAlign w:val="center"/>
          </w:tcPr>
          <w:p>
            <w:r>
              <w:rPr>
                <w:rFonts w:hint="eastAsia" w:ascii="宋体" w:hAnsi="宋体"/>
                <w:sz w:val="24"/>
                <w:szCs w:val="24"/>
              </w:rPr>
              <w:t>高空作业平台类型</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自行直臂式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62" w:type="dxa"/>
            <w:vAlign w:val="center"/>
          </w:tcPr>
          <w:p>
            <w:pPr>
              <w:jc w:val="center"/>
              <w:rPr>
                <w:rFonts w:eastAsiaTheme="minorEastAsia"/>
              </w:rPr>
            </w:pPr>
            <w:r>
              <w:rPr>
                <w:rFonts w:hint="eastAsia"/>
              </w:rPr>
              <w:t>2</w:t>
            </w:r>
          </w:p>
        </w:tc>
        <w:tc>
          <w:tcPr>
            <w:tcW w:w="3960" w:type="dxa"/>
            <w:vAlign w:val="center"/>
          </w:tcPr>
          <w:p>
            <w:r>
              <w:rPr>
                <w:rFonts w:hint="eastAsia" w:ascii="宋体" w:hAnsi="宋体"/>
                <w:sz w:val="24"/>
                <w:szCs w:val="24"/>
              </w:rPr>
              <w:t>最大平台高度</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≥32米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3</w:t>
            </w:r>
          </w:p>
        </w:tc>
        <w:tc>
          <w:tcPr>
            <w:tcW w:w="3960" w:type="dxa"/>
            <w:vAlign w:val="center"/>
          </w:tcPr>
          <w:p>
            <w:r>
              <w:rPr>
                <w:rFonts w:hint="eastAsia" w:ascii="宋体" w:hAnsi="宋体"/>
                <w:sz w:val="24"/>
                <w:szCs w:val="24"/>
              </w:rPr>
              <w:t>最大工作高度</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≥34米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4</w:t>
            </w:r>
          </w:p>
        </w:tc>
        <w:tc>
          <w:tcPr>
            <w:tcW w:w="3960" w:type="dxa"/>
            <w:vAlign w:val="center"/>
          </w:tcPr>
          <w:p>
            <w:r>
              <w:rPr>
                <w:rFonts w:hint="eastAsia" w:ascii="宋体" w:hAnsi="宋体"/>
                <w:sz w:val="24"/>
                <w:szCs w:val="24"/>
              </w:rPr>
              <w:t>最大水平延伸</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≥22米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5</w:t>
            </w:r>
          </w:p>
        </w:tc>
        <w:tc>
          <w:tcPr>
            <w:tcW w:w="3960" w:type="dxa"/>
            <w:vAlign w:val="center"/>
          </w:tcPr>
          <w:p>
            <w:r>
              <w:rPr>
                <w:rFonts w:hint="eastAsia" w:ascii="宋体" w:hAnsi="宋体"/>
                <w:sz w:val="24"/>
                <w:szCs w:val="24"/>
              </w:rPr>
              <w:t>额定承载</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≥250k(不受限2人及工具)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6</w:t>
            </w:r>
          </w:p>
        </w:tc>
        <w:tc>
          <w:tcPr>
            <w:tcW w:w="3960" w:type="dxa"/>
            <w:vAlign w:val="center"/>
          </w:tcPr>
          <w:p>
            <w:r>
              <w:rPr>
                <w:rFonts w:hint="eastAsia" w:ascii="宋体" w:hAnsi="宋体"/>
                <w:sz w:val="24"/>
                <w:szCs w:val="24"/>
              </w:rPr>
              <w:t>转台回转</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360°连续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7</w:t>
            </w:r>
          </w:p>
        </w:tc>
        <w:tc>
          <w:tcPr>
            <w:tcW w:w="3960" w:type="dxa"/>
            <w:vAlign w:val="center"/>
          </w:tcPr>
          <w:p>
            <w:r>
              <w:rPr>
                <w:rFonts w:hint="eastAsia" w:ascii="宋体" w:hAnsi="宋体"/>
                <w:sz w:val="24"/>
                <w:szCs w:val="24"/>
              </w:rPr>
              <w:t>平台回转</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8</w:t>
            </w:r>
          </w:p>
        </w:tc>
        <w:tc>
          <w:tcPr>
            <w:tcW w:w="3960" w:type="dxa"/>
            <w:vAlign w:val="center"/>
          </w:tcPr>
          <w:p>
            <w:r>
              <w:rPr>
                <w:rFonts w:hint="eastAsia" w:ascii="宋体" w:hAnsi="宋体"/>
                <w:sz w:val="24"/>
                <w:szCs w:val="24"/>
              </w:rPr>
              <w:t xml:space="preserve">最高行驶速度 </w:t>
            </w:r>
            <w:r>
              <w:rPr>
                <w:rFonts w:ascii="宋体" w:hAnsi="宋体"/>
                <w:sz w:val="24"/>
                <w:szCs w:val="24"/>
              </w:rPr>
              <w:t>–</w:t>
            </w:r>
            <w:r>
              <w:rPr>
                <w:rFonts w:hint="eastAsia" w:ascii="宋体" w:hAnsi="宋体"/>
                <w:sz w:val="24"/>
                <w:szCs w:val="24"/>
              </w:rPr>
              <w:t>收起状态</w:t>
            </w:r>
          </w:p>
        </w:tc>
        <w:tc>
          <w:tcPr>
            <w:tcW w:w="3500" w:type="dxa"/>
          </w:tcPr>
          <w:p>
            <w:pPr>
              <w:ind w:firstLine="240" w:firstLineChars="100"/>
              <w:jc w:val="left"/>
            </w:pPr>
            <w:r>
              <w:rPr>
                <w:rFonts w:hint="eastAsia" w:ascii="宋体" w:hAnsi="宋体"/>
                <w:sz w:val="24"/>
                <w:szCs w:val="24"/>
              </w:rPr>
              <w:t>≥4km/h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9</w:t>
            </w:r>
          </w:p>
        </w:tc>
        <w:tc>
          <w:tcPr>
            <w:tcW w:w="3960" w:type="dxa"/>
            <w:vAlign w:val="center"/>
          </w:tcPr>
          <w:p>
            <w:r>
              <w:rPr>
                <w:rFonts w:hint="eastAsia" w:ascii="宋体" w:hAnsi="宋体"/>
                <w:sz w:val="24"/>
                <w:szCs w:val="24"/>
              </w:rPr>
              <w:t>爬坡能力</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≥25°（4WD）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10</w:t>
            </w:r>
          </w:p>
        </w:tc>
        <w:tc>
          <w:tcPr>
            <w:tcW w:w="3960" w:type="dxa"/>
            <w:vAlign w:val="center"/>
          </w:tcPr>
          <w:p>
            <w:r>
              <w:rPr>
                <w:rFonts w:hint="eastAsia" w:ascii="宋体" w:hAnsi="宋体"/>
                <w:sz w:val="24"/>
                <w:szCs w:val="24"/>
              </w:rPr>
              <w:t>工作时允许倾角</w:t>
            </w:r>
          </w:p>
        </w:tc>
        <w:tc>
          <w:tcPr>
            <w:tcW w:w="3500" w:type="dxa"/>
          </w:tcPr>
          <w:p>
            <w:pPr>
              <w:jc w:val="left"/>
            </w:pPr>
            <w:r>
              <w:rPr>
                <w:rFonts w:hint="eastAsia" w:ascii="宋体" w:hAnsi="宋体"/>
                <w:b/>
                <w:bCs/>
                <w:sz w:val="24"/>
                <w:szCs w:val="24"/>
              </w:rPr>
              <w:t xml:space="preserve">* </w:t>
            </w:r>
            <w:r>
              <w:rPr>
                <w:rFonts w:hint="eastAsia" w:ascii="宋体" w:hAnsi="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11</w:t>
            </w:r>
          </w:p>
        </w:tc>
        <w:tc>
          <w:tcPr>
            <w:tcW w:w="3960" w:type="dxa"/>
            <w:vAlign w:val="center"/>
          </w:tcPr>
          <w:p>
            <w:r>
              <w:rPr>
                <w:rFonts w:hint="eastAsia" w:ascii="宋体" w:hAnsi="宋体"/>
                <w:sz w:val="24"/>
                <w:szCs w:val="24"/>
              </w:rPr>
              <w:t>正常作业时的最大噪音</w:t>
            </w:r>
          </w:p>
        </w:tc>
        <w:tc>
          <w:tcPr>
            <w:tcW w:w="3500" w:type="dxa"/>
          </w:tcPr>
          <w:p>
            <w:pPr>
              <w:spacing w:line="460" w:lineRule="exact"/>
              <w:ind w:firstLine="240" w:firstLineChars="100"/>
              <w:jc w:val="left"/>
            </w:pPr>
            <w:r>
              <w:rPr>
                <w:rFonts w:hint="eastAsia" w:ascii="宋体" w:hAnsi="宋体"/>
                <w:sz w:val="24"/>
                <w:szCs w:val="24"/>
              </w:rPr>
              <w:t>≤82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12</w:t>
            </w:r>
          </w:p>
        </w:tc>
        <w:tc>
          <w:tcPr>
            <w:tcW w:w="3960" w:type="dxa"/>
            <w:vAlign w:val="center"/>
          </w:tcPr>
          <w:p>
            <w:r>
              <w:rPr>
                <w:rFonts w:hint="eastAsia" w:ascii="宋体" w:hAnsi="宋体"/>
                <w:sz w:val="24"/>
                <w:szCs w:val="24"/>
              </w:rPr>
              <w:t>驱动*转向</w:t>
            </w:r>
          </w:p>
        </w:tc>
        <w:tc>
          <w:tcPr>
            <w:tcW w:w="3500" w:type="dxa"/>
          </w:tcPr>
          <w:p>
            <w:pPr>
              <w:spacing w:line="460" w:lineRule="exact"/>
              <w:jc w:val="left"/>
            </w:pPr>
            <w:r>
              <w:rPr>
                <w:rFonts w:hint="eastAsia" w:ascii="宋体" w:hAnsi="宋体"/>
                <w:b/>
                <w:bCs/>
                <w:sz w:val="24"/>
                <w:szCs w:val="24"/>
              </w:rPr>
              <w:t xml:space="preserve">* </w:t>
            </w:r>
            <w:r>
              <w:rPr>
                <w:rFonts w:hint="eastAsia" w:ascii="宋体" w:hAnsi="宋体"/>
                <w:sz w:val="24"/>
                <w:szCs w:val="24"/>
              </w:rPr>
              <w:t>4WD*4WS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13</w:t>
            </w:r>
          </w:p>
        </w:tc>
        <w:tc>
          <w:tcPr>
            <w:tcW w:w="3960" w:type="dxa"/>
            <w:vAlign w:val="center"/>
          </w:tcPr>
          <w:p>
            <w:r>
              <w:rPr>
                <w:rFonts w:hint="eastAsia" w:ascii="宋体" w:hAnsi="宋体"/>
                <w:sz w:val="24"/>
                <w:szCs w:val="24"/>
              </w:rPr>
              <w:t>轮胎类型</w:t>
            </w:r>
          </w:p>
        </w:tc>
        <w:tc>
          <w:tcPr>
            <w:tcW w:w="3500" w:type="dxa"/>
          </w:tcPr>
          <w:p>
            <w:pPr>
              <w:spacing w:line="460" w:lineRule="exact"/>
              <w:jc w:val="left"/>
            </w:pPr>
            <w:r>
              <w:rPr>
                <w:rFonts w:hint="eastAsia" w:ascii="宋体" w:hAnsi="宋体"/>
                <w:b/>
                <w:bCs/>
                <w:sz w:val="24"/>
                <w:szCs w:val="24"/>
              </w:rPr>
              <w:t xml:space="preserve">* </w:t>
            </w:r>
            <w:r>
              <w:rPr>
                <w:rFonts w:hint="eastAsia" w:ascii="宋体" w:hAnsi="宋体"/>
                <w:sz w:val="24"/>
                <w:szCs w:val="24"/>
              </w:rPr>
              <w:t>实心轮胎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14</w:t>
            </w:r>
          </w:p>
        </w:tc>
        <w:tc>
          <w:tcPr>
            <w:tcW w:w="3960" w:type="dxa"/>
            <w:vAlign w:val="center"/>
          </w:tcPr>
          <w:p>
            <w:r>
              <w:rPr>
                <w:rFonts w:hint="eastAsia" w:ascii="宋体" w:hAnsi="宋体"/>
                <w:sz w:val="24"/>
                <w:szCs w:val="24"/>
              </w:rPr>
              <w:t>发动机额定功率</w:t>
            </w:r>
          </w:p>
        </w:tc>
        <w:tc>
          <w:tcPr>
            <w:tcW w:w="3500" w:type="dxa"/>
          </w:tcPr>
          <w:p>
            <w:pPr>
              <w:ind w:firstLine="240" w:firstLineChars="100"/>
              <w:jc w:val="left"/>
            </w:pPr>
            <w:r>
              <w:rPr>
                <w:rFonts w:hint="eastAsia" w:ascii="宋体" w:hAnsi="宋体"/>
                <w:sz w:val="24"/>
                <w:szCs w:val="24"/>
              </w:rPr>
              <w:t>≥ 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15</w:t>
            </w:r>
          </w:p>
        </w:tc>
        <w:tc>
          <w:tcPr>
            <w:tcW w:w="3960" w:type="dxa"/>
            <w:vAlign w:val="center"/>
          </w:tcPr>
          <w:p>
            <w:pPr>
              <w:rPr>
                <w:rFonts w:ascii="宋体" w:hAnsi="宋体"/>
                <w:sz w:val="24"/>
                <w:szCs w:val="24"/>
              </w:rPr>
            </w:pPr>
            <w:r>
              <w:rPr>
                <w:rFonts w:hint="eastAsia" w:ascii="宋体" w:hAnsi="宋体"/>
                <w:sz w:val="24"/>
                <w:szCs w:val="24"/>
              </w:rPr>
              <w:t>控制电压</w:t>
            </w:r>
          </w:p>
        </w:tc>
        <w:tc>
          <w:tcPr>
            <w:tcW w:w="3500" w:type="dxa"/>
          </w:tcPr>
          <w:p>
            <w:pPr>
              <w:ind w:firstLine="240" w:firstLineChars="100"/>
              <w:jc w:val="left"/>
            </w:pPr>
            <w:r>
              <w:rPr>
                <w:rFonts w:hint="eastAsia" w:ascii="宋体" w:hAnsi="宋体"/>
                <w:sz w:val="24"/>
                <w:szCs w:val="24"/>
              </w:rPr>
              <w:t>12VDC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vAlign w:val="center"/>
          </w:tcPr>
          <w:p>
            <w:pPr>
              <w:jc w:val="center"/>
              <w:rPr>
                <w:rFonts w:eastAsiaTheme="minorEastAsia"/>
              </w:rPr>
            </w:pPr>
            <w:r>
              <w:rPr>
                <w:rFonts w:hint="eastAsia"/>
              </w:rPr>
              <w:t>16</w:t>
            </w:r>
          </w:p>
        </w:tc>
        <w:tc>
          <w:tcPr>
            <w:tcW w:w="3960" w:type="dxa"/>
            <w:vAlign w:val="center"/>
          </w:tcPr>
          <w:p>
            <w:pPr>
              <w:rPr>
                <w:rFonts w:ascii="宋体" w:hAnsi="宋体"/>
                <w:sz w:val="24"/>
                <w:szCs w:val="24"/>
              </w:rPr>
            </w:pPr>
            <w:r>
              <w:rPr>
                <w:rFonts w:hint="eastAsia" w:ascii="宋体" w:hAnsi="宋体"/>
                <w:sz w:val="24"/>
                <w:szCs w:val="24"/>
              </w:rPr>
              <w:t>IP等级</w:t>
            </w:r>
          </w:p>
        </w:tc>
        <w:tc>
          <w:tcPr>
            <w:tcW w:w="3500" w:type="dxa"/>
          </w:tcPr>
          <w:p>
            <w:pPr>
              <w:ind w:firstLine="240" w:firstLineChars="100"/>
              <w:jc w:val="left"/>
            </w:pPr>
            <w:r>
              <w:rPr>
                <w:rFonts w:hint="eastAsia" w:ascii="宋体" w:hAnsi="宋体"/>
                <w:sz w:val="24"/>
                <w:szCs w:val="24"/>
              </w:rPr>
              <w:t>≥IP54</w:t>
            </w:r>
          </w:p>
        </w:tc>
      </w:tr>
    </w:tbl>
    <w:p>
      <w:pPr>
        <w:keepNext/>
        <w:spacing w:beforeLines="100" w:line="480" w:lineRule="exact"/>
        <w:ind w:left="561"/>
        <w:jc w:val="left"/>
        <w:outlineLvl w:val="2"/>
        <w:rPr>
          <w:rFonts w:ascii="Arial" w:hAnsi="Arial" w:eastAsia="仿宋_GB2312"/>
          <w:b/>
          <w:snapToGrid w:val="0"/>
          <w:kern w:val="0"/>
          <w:sz w:val="28"/>
          <w:szCs w:val="24"/>
        </w:rPr>
      </w:pPr>
      <w:bookmarkStart w:id="202" w:name="_Toc174419666"/>
      <w:bookmarkStart w:id="203" w:name="_Toc295745778"/>
      <w:bookmarkStart w:id="204" w:name="_Toc423512272"/>
      <w:r>
        <w:rPr>
          <w:rFonts w:hint="eastAsia" w:ascii="Arial" w:hAnsi="Arial" w:eastAsia="仿宋_GB2312"/>
          <w:b/>
          <w:snapToGrid w:val="0"/>
          <w:kern w:val="0"/>
          <w:sz w:val="28"/>
          <w:szCs w:val="24"/>
        </w:rPr>
        <w:t>4 标准和规范</w:t>
      </w:r>
      <w:bookmarkEnd w:id="202"/>
      <w:bookmarkEnd w:id="203"/>
      <w:bookmarkEnd w:id="204"/>
    </w:p>
    <w:p>
      <w:pPr>
        <w:spacing w:line="460" w:lineRule="exact"/>
        <w:ind w:firstLine="480" w:firstLineChars="200"/>
        <w:jc w:val="left"/>
        <w:rPr>
          <w:rFonts w:ascii="宋体" w:hAnsi="宋体"/>
          <w:sz w:val="24"/>
          <w:szCs w:val="24"/>
        </w:rPr>
      </w:pPr>
      <w:r>
        <w:rPr>
          <w:rFonts w:hint="eastAsia" w:ascii="宋体" w:hAnsi="宋体"/>
          <w:sz w:val="24"/>
          <w:szCs w:val="24"/>
        </w:rPr>
        <w:t>4.1 高空作业平台的设计、制造、安装和试验应符合下列标准（最新版本）：</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国际标准化组织标准</w:t>
      </w:r>
      <w:r>
        <w:rPr>
          <w:rFonts w:ascii="宋体" w:hAnsi="宋体"/>
          <w:sz w:val="24"/>
          <w:szCs w:val="24"/>
        </w:rPr>
        <w:t>ISO</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日本工业标准                        JIS</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美国汽车工程师协会标准              SAE</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美国焊接协会标准                    AWS</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国际电工委员会标准</w:t>
      </w:r>
      <w:r>
        <w:rPr>
          <w:rFonts w:ascii="宋体" w:hAnsi="宋体"/>
          <w:sz w:val="24"/>
          <w:szCs w:val="24"/>
        </w:rPr>
        <w:t>IEC</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中国国家标准                       CE/ GB</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计量采用国际单位制                  SI</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4.2 若投标人拟采用其它标准，则应随投标文件一起呈交有关标准文件，以供买方确认。</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4.3 投标人所提供的图纸、说明书、手册等文件和所有的铭牌、标志均应采用中文或中英文对照方式。</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4.4 高空作业平台的设计、制造及相应的图纸、技术文件和资料均应采用中华人民共和国法定计量单位。</w:t>
      </w:r>
    </w:p>
    <w:p>
      <w:pPr>
        <w:keepNext/>
        <w:spacing w:beforeLines="100" w:line="480" w:lineRule="exact"/>
        <w:ind w:left="561"/>
        <w:jc w:val="left"/>
        <w:outlineLvl w:val="2"/>
        <w:rPr>
          <w:rFonts w:ascii="Arial" w:hAnsi="Arial" w:eastAsia="华文中宋"/>
          <w:bCs/>
          <w:snapToGrid w:val="0"/>
          <w:kern w:val="0"/>
          <w:sz w:val="28"/>
          <w:szCs w:val="28"/>
        </w:rPr>
      </w:pPr>
      <w:bookmarkStart w:id="205" w:name="_Toc174419667"/>
      <w:bookmarkStart w:id="206" w:name="_Toc295745779"/>
      <w:bookmarkStart w:id="207" w:name="_Toc423512273"/>
      <w:r>
        <w:rPr>
          <w:rFonts w:hint="eastAsia" w:ascii="Arial" w:hAnsi="Arial" w:eastAsia="仿宋_GB2312"/>
          <w:b/>
          <w:snapToGrid w:val="0"/>
          <w:kern w:val="0"/>
          <w:sz w:val="28"/>
          <w:szCs w:val="24"/>
        </w:rPr>
        <w:t>5 整体稳定性</w:t>
      </w:r>
      <w:bookmarkEnd w:id="205"/>
      <w:bookmarkEnd w:id="206"/>
      <w:bookmarkEnd w:id="207"/>
    </w:p>
    <w:p>
      <w:pPr>
        <w:spacing w:line="460" w:lineRule="exact"/>
        <w:ind w:left="959" w:leftChars="228" w:hanging="480" w:hangingChars="200"/>
        <w:jc w:val="left"/>
        <w:rPr>
          <w:rFonts w:ascii="宋体" w:hAnsi="宋体"/>
          <w:sz w:val="24"/>
          <w:szCs w:val="24"/>
        </w:rPr>
      </w:pPr>
      <w:r>
        <w:rPr>
          <w:rFonts w:ascii="宋体" w:hAnsi="宋体"/>
          <w:sz w:val="24"/>
          <w:szCs w:val="24"/>
        </w:rPr>
        <w:t>5.1 高空作业平台应按标准设计轮胎中心距及整机重量分配，确保具有良好的稳定性。</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5.2 高空作业平台在装运前，制造商必须对高空作业平台分别作空载和重载的静态和动态稳定性试验，以及高空作业平台重载时转台回转及平台回转的稳定性试验。</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5.3 投标人在投标时应提供所投货物整机稳定性的相应计算，以供招标人评标时参考。</w:t>
      </w:r>
    </w:p>
    <w:p>
      <w:pPr>
        <w:keepNext/>
        <w:spacing w:beforeLines="100" w:line="480" w:lineRule="exact"/>
        <w:ind w:left="561"/>
        <w:jc w:val="left"/>
        <w:outlineLvl w:val="2"/>
        <w:rPr>
          <w:rFonts w:ascii="Arial" w:hAnsi="Arial" w:eastAsia="仿宋_GB2312"/>
          <w:b/>
          <w:snapToGrid w:val="0"/>
          <w:kern w:val="0"/>
          <w:sz w:val="28"/>
          <w:szCs w:val="24"/>
        </w:rPr>
      </w:pPr>
      <w:bookmarkStart w:id="208" w:name="_Toc174419668"/>
      <w:bookmarkStart w:id="209" w:name="_Toc109124571"/>
      <w:bookmarkStart w:id="210" w:name="_Toc295745780"/>
      <w:bookmarkStart w:id="211" w:name="_Toc423512274"/>
      <w:bookmarkStart w:id="212" w:name="_Toc109367122"/>
      <w:r>
        <w:rPr>
          <w:rFonts w:hint="eastAsia" w:ascii="Arial" w:hAnsi="Arial" w:eastAsia="仿宋_GB2312"/>
          <w:b/>
          <w:snapToGrid w:val="0"/>
          <w:kern w:val="0"/>
          <w:sz w:val="28"/>
          <w:szCs w:val="24"/>
        </w:rPr>
        <w:t>6 材料和工艺</w:t>
      </w:r>
      <w:bookmarkEnd w:id="208"/>
      <w:bookmarkEnd w:id="209"/>
      <w:bookmarkEnd w:id="210"/>
      <w:bookmarkEnd w:id="211"/>
      <w:bookmarkEnd w:id="212"/>
    </w:p>
    <w:p>
      <w:pPr>
        <w:spacing w:line="460" w:lineRule="exact"/>
        <w:ind w:left="959" w:leftChars="228" w:hanging="480" w:hangingChars="200"/>
        <w:jc w:val="left"/>
        <w:rPr>
          <w:rFonts w:ascii="宋体" w:hAnsi="宋体"/>
          <w:sz w:val="24"/>
          <w:szCs w:val="24"/>
        </w:rPr>
      </w:pPr>
      <w:r>
        <w:rPr>
          <w:rFonts w:hint="eastAsia" w:ascii="宋体" w:hAnsi="宋体"/>
          <w:sz w:val="24"/>
          <w:szCs w:val="24"/>
        </w:rPr>
        <w:t>6.1 高空作业平台所使用的材料应满足强度、刚度和韧性的要求，并应符合被买方确认的标准和规范。</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6.2 高空作业平台结构制造中的焊接工艺、焊接质量、及焊缝的检查应符合AWS标准要求。主要结构件应采用适当的焊接方法和工序以防止和减少焊接产生的内应力和变形，所有焊缝要求牢固、圆滑、平整、无夹渣气孔现象，焊后应校正结构变形和消除残余应力。</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6.3 机械零件如齿轮、轴、高强度螺栓等按各自承担的工作要求进行适当的热处理，工艺应遵照本规格书中提到的相关标准和规范。</w:t>
      </w:r>
    </w:p>
    <w:p>
      <w:pPr>
        <w:keepNext/>
        <w:spacing w:beforeLines="100" w:line="480" w:lineRule="exact"/>
        <w:ind w:left="561"/>
        <w:jc w:val="left"/>
        <w:outlineLvl w:val="2"/>
        <w:rPr>
          <w:rFonts w:ascii="Arial" w:hAnsi="Arial" w:eastAsia="仿宋_GB2312"/>
          <w:b/>
          <w:snapToGrid w:val="0"/>
          <w:kern w:val="0"/>
          <w:sz w:val="28"/>
          <w:szCs w:val="24"/>
        </w:rPr>
      </w:pPr>
      <w:bookmarkStart w:id="213" w:name="_Toc423512275"/>
      <w:bookmarkStart w:id="214" w:name="_Toc174419669"/>
      <w:bookmarkStart w:id="215" w:name="_Toc295745781"/>
      <w:r>
        <w:rPr>
          <w:rFonts w:hint="eastAsia" w:ascii="Arial" w:hAnsi="Arial" w:eastAsia="仿宋_GB2312"/>
          <w:b/>
          <w:snapToGrid w:val="0"/>
          <w:kern w:val="0"/>
          <w:sz w:val="28"/>
          <w:szCs w:val="24"/>
        </w:rPr>
        <w:t>7 发动机</w:t>
      </w:r>
      <w:bookmarkEnd w:id="213"/>
      <w:bookmarkEnd w:id="214"/>
      <w:bookmarkEnd w:id="215"/>
    </w:p>
    <w:p>
      <w:pPr>
        <w:spacing w:line="440" w:lineRule="exact"/>
        <w:ind w:left="900" w:leftChars="200" w:hanging="480" w:hangingChars="200"/>
        <w:jc w:val="left"/>
        <w:rPr>
          <w:rFonts w:ascii="Arial" w:hAnsi="Arial"/>
          <w:sz w:val="24"/>
          <w:szCs w:val="24"/>
          <w:highlight w:val="yellow"/>
        </w:rPr>
      </w:pPr>
      <w:r>
        <w:rPr>
          <w:rFonts w:hint="eastAsia" w:ascii="宋体" w:hAnsi="宋体"/>
          <w:sz w:val="24"/>
          <w:szCs w:val="24"/>
        </w:rPr>
        <w:t>7.1 高空作业平台的发动机应选用国际著名品牌的优质产品，具有良好的售后服务及备件供应。且在中国大陆具有良好的技术支持、售后服务及备件供应。</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7.2 发动机应留有10％以上的功率储备，油耗低、耐腐蚀性强、耐冲击性高等特点。</w:t>
      </w:r>
    </w:p>
    <w:p>
      <w:pPr>
        <w:spacing w:line="440" w:lineRule="exact"/>
        <w:ind w:left="900" w:leftChars="200" w:hanging="480" w:hangingChars="200"/>
        <w:jc w:val="left"/>
        <w:rPr>
          <w:rFonts w:ascii="Arial" w:hAnsi="Arial"/>
          <w:sz w:val="24"/>
          <w:szCs w:val="24"/>
        </w:rPr>
      </w:pPr>
      <w:r>
        <w:rPr>
          <w:rFonts w:hint="eastAsia" w:ascii="宋体" w:hAnsi="宋体"/>
          <w:sz w:val="24"/>
          <w:szCs w:val="24"/>
        </w:rPr>
        <w:t>7.3 发动机要求低温（－10</w:t>
      </w:r>
      <w:r>
        <w:rPr>
          <w:rFonts w:hint="eastAsia" w:ascii="宋体" w:hAnsi="宋体"/>
          <w:bCs/>
          <w:sz w:val="24"/>
          <w:szCs w:val="24"/>
        </w:rPr>
        <w:t>℃</w:t>
      </w:r>
      <w:r>
        <w:rPr>
          <w:rFonts w:hint="eastAsia" w:ascii="宋体" w:hAnsi="宋体"/>
          <w:sz w:val="24"/>
          <w:szCs w:val="24"/>
        </w:rPr>
        <w:t>）启动性能良好；噪音、废气排放指标等</w:t>
      </w:r>
      <w:r>
        <w:rPr>
          <w:rFonts w:hint="eastAsia" w:ascii="Arial" w:hAnsi="Arial"/>
          <w:sz w:val="24"/>
          <w:szCs w:val="24"/>
        </w:rPr>
        <w:t>应达到“国三”以上排放标准，</w:t>
      </w:r>
      <w:r>
        <w:rPr>
          <w:rFonts w:hint="eastAsia" w:ascii="仿宋" w:hAnsi="仿宋" w:eastAsia="仿宋"/>
          <w:b/>
          <w:sz w:val="24"/>
          <w:szCs w:val="24"/>
        </w:rPr>
        <w:t>排气管要安装灭火罩</w:t>
      </w:r>
      <w:r>
        <w:rPr>
          <w:rFonts w:hint="eastAsia" w:ascii="宋体" w:hAnsi="宋体"/>
          <w:sz w:val="24"/>
          <w:szCs w:val="24"/>
        </w:rPr>
        <w:t>；所用燃油应能适用中国大陆相应牌号   的柴油（投标人投标时应提供相应燃料的理化指标和相应要求），高空作业平台配置的油箱容量至少应能满足整机连续工作10小时所需，油箱应设有液面计。</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7.4 发动机应安装高冷却效率的</w:t>
      </w:r>
      <w:r>
        <w:rPr>
          <w:rFonts w:hint="eastAsia" w:ascii="仿宋" w:hAnsi="仿宋" w:eastAsia="仿宋"/>
          <w:b/>
          <w:sz w:val="24"/>
          <w:szCs w:val="24"/>
        </w:rPr>
        <w:t>铝质</w:t>
      </w:r>
      <w:r>
        <w:rPr>
          <w:rFonts w:hint="eastAsia" w:ascii="宋体" w:hAnsi="宋体"/>
          <w:sz w:val="24"/>
          <w:szCs w:val="24"/>
        </w:rPr>
        <w:t>散热器，保证在55℃的高温下、且通风不畅的条件下发动机能够正常运行。散热器应不易堵塞，冲洗时散热片不易变形，散热器防护网罩应能方便地开闭，便于清理和冲洗散热器。</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7.5发动机的安装具有转出机构，转出角度不小于30度，方便维修。</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7.6发动机具有防止再启动保护装置，保护起动机和飞轮齿圈。</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7.7要求发动机在冷却水温度.机油压力超标时具有自动保护功能。</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7.8发动机应有预热装置，以方便冬季发动机的启动。</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7.9发动机应有高低速控制。</w:t>
      </w:r>
    </w:p>
    <w:p>
      <w:pPr>
        <w:spacing w:line="460" w:lineRule="exact"/>
        <w:ind w:left="900" w:leftChars="200" w:hanging="480" w:hangingChars="200"/>
        <w:jc w:val="left"/>
        <w:rPr>
          <w:rFonts w:ascii="宋体" w:hAnsi="宋体"/>
          <w:sz w:val="24"/>
          <w:szCs w:val="24"/>
        </w:rPr>
      </w:pPr>
      <w:r>
        <w:rPr>
          <w:rFonts w:hint="eastAsia" w:ascii="宋体" w:hAnsi="宋体"/>
          <w:sz w:val="24"/>
          <w:szCs w:val="24"/>
        </w:rPr>
        <w:t>7.10燃油及空气过滤器，过滤层不少于两级。</w:t>
      </w:r>
    </w:p>
    <w:p>
      <w:pPr>
        <w:keepNext/>
        <w:spacing w:beforeLines="100" w:line="480" w:lineRule="exact"/>
        <w:ind w:left="561"/>
        <w:jc w:val="left"/>
        <w:outlineLvl w:val="2"/>
        <w:rPr>
          <w:rFonts w:ascii="Arial" w:hAnsi="Arial" w:eastAsia="仿宋_GB2312"/>
          <w:b/>
          <w:snapToGrid w:val="0"/>
          <w:kern w:val="0"/>
          <w:sz w:val="28"/>
          <w:szCs w:val="24"/>
        </w:rPr>
      </w:pPr>
      <w:bookmarkStart w:id="216" w:name="_Toc174419670"/>
      <w:bookmarkStart w:id="217" w:name="_Toc423512276"/>
      <w:bookmarkStart w:id="218" w:name="_Toc295745782"/>
      <w:r>
        <w:rPr>
          <w:rFonts w:hint="eastAsia" w:ascii="Arial" w:hAnsi="Arial" w:eastAsia="仿宋_GB2312"/>
          <w:b/>
          <w:snapToGrid w:val="0"/>
          <w:kern w:val="0"/>
          <w:sz w:val="28"/>
          <w:szCs w:val="24"/>
        </w:rPr>
        <w:t>8 回转机构</w:t>
      </w:r>
      <w:bookmarkEnd w:id="216"/>
      <w:bookmarkEnd w:id="217"/>
      <w:bookmarkEnd w:id="218"/>
    </w:p>
    <w:p>
      <w:pPr>
        <w:spacing w:line="460" w:lineRule="exact"/>
        <w:ind w:left="959" w:leftChars="228" w:hanging="480" w:hangingChars="200"/>
        <w:jc w:val="left"/>
        <w:rPr>
          <w:rFonts w:ascii="宋体" w:hAnsi="宋体"/>
          <w:sz w:val="24"/>
          <w:szCs w:val="24"/>
        </w:rPr>
      </w:pPr>
      <w:r>
        <w:rPr>
          <w:rFonts w:hint="eastAsia" w:ascii="宋体" w:hAnsi="宋体"/>
          <w:sz w:val="24"/>
          <w:szCs w:val="24"/>
        </w:rPr>
        <w:t>8.1 转台是组成回转装置的基础部件，其应具有足够的强度、刚度及耐冲击等性能，制造工艺及制造质量保证应符合相关规范要求。</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8.2 回转驱动装置应具有足够的强度和高的传动效率，还应具有良好自动制动功能和运输锁销。启动和停止均应平滑过度，不应有冲击现象。</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8.3 转台与回转支承、回转支承与下车架的连接应可靠，两连接面的表面平整度应达到有关规范要求，回转支承应有方便润滑的措施。</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8.4 联接车架和转台的液压油路中心回转接头应具有耐冲击、良好的密封性及耐久性等，中心接头处需加装防护罩；转台上机罩应结构简单，并便于安装拆卸。</w:t>
      </w:r>
    </w:p>
    <w:p>
      <w:pPr>
        <w:keepNext/>
        <w:spacing w:beforeLines="100" w:line="480" w:lineRule="exact"/>
        <w:ind w:left="561"/>
        <w:jc w:val="left"/>
        <w:outlineLvl w:val="2"/>
        <w:rPr>
          <w:rFonts w:ascii="Arial" w:hAnsi="Arial" w:eastAsia="仿宋_GB2312"/>
          <w:b/>
          <w:snapToGrid w:val="0"/>
          <w:kern w:val="0"/>
          <w:sz w:val="28"/>
          <w:szCs w:val="24"/>
        </w:rPr>
      </w:pPr>
      <w:bookmarkStart w:id="219" w:name="_Toc423512277"/>
      <w:bookmarkStart w:id="220" w:name="_Toc295745783"/>
      <w:bookmarkStart w:id="221" w:name="_Toc174419671"/>
      <w:r>
        <w:rPr>
          <w:rFonts w:hint="eastAsia" w:ascii="Arial" w:hAnsi="Arial" w:eastAsia="仿宋_GB2312"/>
          <w:b/>
          <w:snapToGrid w:val="0"/>
          <w:kern w:val="0"/>
          <w:sz w:val="28"/>
          <w:szCs w:val="24"/>
        </w:rPr>
        <w:t>9 行走装置</w:t>
      </w:r>
      <w:bookmarkEnd w:id="219"/>
      <w:bookmarkEnd w:id="220"/>
      <w:bookmarkEnd w:id="221"/>
    </w:p>
    <w:p>
      <w:pPr>
        <w:spacing w:line="460" w:lineRule="exact"/>
        <w:ind w:left="959" w:leftChars="228" w:hanging="480" w:hangingChars="200"/>
        <w:jc w:val="left"/>
        <w:rPr>
          <w:rFonts w:ascii="宋体" w:hAnsi="宋体"/>
          <w:sz w:val="24"/>
          <w:szCs w:val="24"/>
        </w:rPr>
      </w:pPr>
      <w:r>
        <w:rPr>
          <w:rFonts w:hint="eastAsia" w:ascii="宋体" w:hAnsi="宋体"/>
          <w:sz w:val="24"/>
          <w:szCs w:val="24"/>
        </w:rPr>
        <w:t>9.1 行走装置中车架是构成底盘的基础，，应有足够的强度、刚度。</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9.2 行走装置应具有较大的驱动力、离地间隙、和较小的接地比压，在斜坡下行时应无下滑和超速溜坡现象。</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9.3 高空作业平台行走机构应具有可靠的制动措施，停车制动器应具有使空载在20%坡道上保持停车状态所需的制动力。</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9.4 高空作业平台的行走装置各部件要求其强度、刚度、稳定性、耐磨性和耐冲击性都必须满足现场作业工况的需要。</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9.5 轮胎采用国内外著名品牌的实心轮胎。</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9.6四种转向模式：前轮转向.后轮转向.蟹形转向和四轮转向。</w:t>
      </w:r>
    </w:p>
    <w:p>
      <w:pPr>
        <w:spacing w:line="460" w:lineRule="exact"/>
        <w:ind w:firstLine="480" w:firstLineChars="200"/>
        <w:jc w:val="left"/>
        <w:rPr>
          <w:rFonts w:ascii="宋体" w:hAnsi="宋体"/>
          <w:sz w:val="24"/>
          <w:szCs w:val="24"/>
        </w:rPr>
      </w:pPr>
      <w:r>
        <w:rPr>
          <w:rFonts w:hint="eastAsia" w:ascii="宋体" w:hAnsi="宋体"/>
          <w:sz w:val="24"/>
          <w:szCs w:val="24"/>
        </w:rPr>
        <w:t>9.7 吊耳孔需保证吊运时不碰机体。</w:t>
      </w:r>
    </w:p>
    <w:p>
      <w:pPr>
        <w:spacing w:line="460" w:lineRule="exact"/>
        <w:ind w:left="959" w:leftChars="228" w:hanging="480" w:hangingChars="200"/>
        <w:jc w:val="left"/>
        <w:rPr>
          <w:rFonts w:ascii="宋体" w:hAnsi="宋体"/>
          <w:sz w:val="24"/>
          <w:szCs w:val="24"/>
        </w:rPr>
      </w:pPr>
      <w:r>
        <w:rPr>
          <w:rFonts w:hint="eastAsia" w:ascii="宋体" w:hAnsi="宋体"/>
          <w:sz w:val="24"/>
          <w:szCs w:val="24"/>
        </w:rPr>
        <w:t>9.8行走动作中，当上体旋转180度后，具有前进/倒退的提示，以确认行驶方向的正确与否</w:t>
      </w:r>
    </w:p>
    <w:p>
      <w:pPr>
        <w:keepNext/>
        <w:spacing w:beforeLines="100" w:line="480" w:lineRule="exact"/>
        <w:ind w:left="561"/>
        <w:jc w:val="left"/>
        <w:outlineLvl w:val="2"/>
        <w:rPr>
          <w:rFonts w:ascii="Arial" w:hAnsi="Arial" w:eastAsia="华文中宋"/>
          <w:bCs/>
          <w:snapToGrid w:val="0"/>
          <w:kern w:val="0"/>
          <w:sz w:val="28"/>
          <w:szCs w:val="28"/>
        </w:rPr>
      </w:pPr>
      <w:bookmarkStart w:id="222" w:name="_Toc295745784"/>
      <w:bookmarkStart w:id="223" w:name="_Toc174419672"/>
      <w:bookmarkStart w:id="224" w:name="_Toc423512278"/>
      <w:r>
        <w:rPr>
          <w:rFonts w:hint="eastAsia" w:ascii="Arial" w:hAnsi="Arial" w:eastAsia="仿宋_GB2312"/>
          <w:b/>
          <w:snapToGrid w:val="0"/>
          <w:kern w:val="0"/>
          <w:sz w:val="28"/>
          <w:szCs w:val="24"/>
        </w:rPr>
        <w:t>10 工作装置</w:t>
      </w:r>
      <w:bookmarkEnd w:id="222"/>
      <w:bookmarkEnd w:id="223"/>
      <w:bookmarkEnd w:id="224"/>
    </w:p>
    <w:p>
      <w:pPr>
        <w:spacing w:line="460" w:lineRule="exact"/>
        <w:ind w:firstLine="480" w:firstLineChars="200"/>
        <w:jc w:val="left"/>
        <w:rPr>
          <w:rFonts w:ascii="宋体" w:hAnsi="宋体"/>
          <w:sz w:val="24"/>
          <w:szCs w:val="24"/>
        </w:rPr>
      </w:pPr>
      <w:r>
        <w:rPr>
          <w:rFonts w:hint="eastAsia" w:ascii="宋体" w:hAnsi="宋体"/>
          <w:sz w:val="24"/>
          <w:szCs w:val="24"/>
        </w:rPr>
        <w:t>10.1高空作业平台臂杆应有足够的强度、刚度，能适应港口码头高作业需要。</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10.2 高空作业平台开门为侧开门，门应有足够的刚度。</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10.3高空作业平台应为超大型钢制平台，160度平台旋转，载重能力达到480kg</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10.4工作平台采用液压调平，调平可靠平稳。</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10.5平台四周要设防撞装置，平台上方位置应加装限位保险杠，作业平台底部距限位保险杠顶部高度≥1900mm.工作平台与臂架之间用铁链连接，防止平台意外堕落。</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10.4 工作装置中的铰接点销轴应有可靠的固定装置，并设有可靠的润滑和防尘措施。</w:t>
      </w:r>
      <w:bookmarkStart w:id="225" w:name="_Toc295745785"/>
      <w:bookmarkStart w:id="226" w:name="_Toc174419673"/>
      <w:bookmarkStart w:id="227" w:name="_Toc423512279"/>
    </w:p>
    <w:p>
      <w:pPr>
        <w:spacing w:line="460" w:lineRule="exact"/>
        <w:ind w:left="1263" w:leftChars="200" w:hanging="843" w:hangingChars="300"/>
        <w:jc w:val="left"/>
        <w:rPr>
          <w:rFonts w:ascii="宋体" w:hAnsi="宋体"/>
          <w:sz w:val="24"/>
          <w:szCs w:val="24"/>
        </w:rPr>
      </w:pPr>
      <w:r>
        <w:rPr>
          <w:rFonts w:hint="eastAsia" w:ascii="Arial" w:hAnsi="Arial" w:eastAsia="仿宋_GB2312"/>
          <w:b/>
          <w:snapToGrid w:val="0"/>
          <w:kern w:val="0"/>
          <w:sz w:val="28"/>
          <w:szCs w:val="24"/>
        </w:rPr>
        <w:t>11 液压系统</w:t>
      </w:r>
      <w:bookmarkEnd w:id="225"/>
      <w:bookmarkEnd w:id="226"/>
      <w:bookmarkEnd w:id="227"/>
    </w:p>
    <w:p>
      <w:pPr>
        <w:spacing w:line="460" w:lineRule="exact"/>
        <w:ind w:left="1140" w:leftChars="200" w:hanging="720" w:hangingChars="300"/>
        <w:jc w:val="left"/>
        <w:rPr>
          <w:rFonts w:ascii="宋体" w:hAnsi="宋体"/>
          <w:sz w:val="24"/>
          <w:szCs w:val="24"/>
        </w:rPr>
      </w:pPr>
      <w:r>
        <w:rPr>
          <w:rFonts w:hint="eastAsia" w:ascii="宋体" w:hAnsi="宋体"/>
          <w:sz w:val="24"/>
          <w:szCs w:val="24"/>
        </w:rPr>
        <w:t>11.1 高空作业平台液压系统中各执行元件应安全可靠，各元件（液压缸、液压马达等）应有良好的过载保护；回转机构、行走装置、应有可靠的制动和限速装置或措施。</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11.2液压系统中各元件应合理匹配，并应尽量减少液压回路中的压力损失。操纵阀应具有压力损失小，用手柄或脚踏板操作时具有平稳，轻快等特点，并应能承受冲击载荷；液压泵、液压马达、液压油缸应选择能承受冲击载荷的产品，并应具有寿命长、效率高，工作可靠等特点。液压系统各主要元件应采用国际著名制造商的优质产品。</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11.4 液压系统的密封性能要好，液压元件对油液污染的敏感性要低；整个液压系统应设置可靠的过滤装置和防尘装置，以保证液压系统清洁，提高泵、阀、油缸的使用寿命；系统中应安装液压油污报警装置。</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11.5 高压输油胶管应布置合理，固定牢靠，以免造成不正常的磨损。</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11.6 液压油箱应设性能良好的滤网，以防止灰尘等侵入液压系统，液压油箱应具有足够的容量并应装设液面计；液压油选用应考虑能用中国大陆的油品替代。</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11.7各种动作开始时和结束前都具有缓冲区，以免有冲击。</w:t>
      </w:r>
    </w:p>
    <w:p>
      <w:pPr>
        <w:keepNext/>
        <w:spacing w:beforeLines="100" w:line="480" w:lineRule="exact"/>
        <w:ind w:left="561"/>
        <w:jc w:val="left"/>
        <w:outlineLvl w:val="2"/>
        <w:rPr>
          <w:rFonts w:ascii="Arial" w:hAnsi="Arial" w:eastAsia="华文中宋"/>
          <w:bCs/>
          <w:snapToGrid w:val="0"/>
          <w:kern w:val="0"/>
          <w:sz w:val="28"/>
          <w:szCs w:val="28"/>
        </w:rPr>
      </w:pPr>
      <w:bookmarkStart w:id="228" w:name="_Toc174419675"/>
      <w:bookmarkStart w:id="229" w:name="_Toc423512281"/>
      <w:bookmarkStart w:id="230" w:name="_Toc295745787"/>
      <w:r>
        <w:rPr>
          <w:rFonts w:hint="eastAsia" w:ascii="Arial" w:hAnsi="Arial" w:eastAsia="仿宋_GB2312"/>
          <w:b/>
          <w:snapToGrid w:val="0"/>
          <w:kern w:val="0"/>
          <w:sz w:val="28"/>
          <w:szCs w:val="24"/>
        </w:rPr>
        <w:t>12电气系统</w:t>
      </w:r>
      <w:bookmarkEnd w:id="228"/>
      <w:bookmarkEnd w:id="229"/>
      <w:bookmarkEnd w:id="230"/>
    </w:p>
    <w:p>
      <w:pPr>
        <w:spacing w:line="460" w:lineRule="exact"/>
        <w:ind w:left="1079" w:leftChars="228" w:hanging="600" w:hangingChars="250"/>
        <w:jc w:val="left"/>
        <w:rPr>
          <w:rFonts w:ascii="宋体" w:hAnsi="宋体"/>
          <w:sz w:val="24"/>
          <w:szCs w:val="24"/>
        </w:rPr>
      </w:pPr>
      <w:r>
        <w:rPr>
          <w:rFonts w:hint="eastAsia" w:ascii="宋体" w:hAnsi="宋体"/>
          <w:sz w:val="24"/>
          <w:szCs w:val="24"/>
        </w:rPr>
        <w:t>12.1 发动机转速控制系统应稳定可靠。应是采用先进的机电液控制技术实现对</w:t>
      </w:r>
      <w:r>
        <w:rPr>
          <w:rFonts w:ascii="宋体" w:hAnsi="宋体"/>
          <w:sz w:val="24"/>
          <w:szCs w:val="24"/>
        </w:rPr>
        <w:t>发动机、液压泵、多路换向阀和执行元件（液压缸、液压马达）等</w:t>
      </w:r>
      <w:r>
        <w:rPr>
          <w:rFonts w:hint="eastAsia" w:ascii="宋体" w:hAnsi="宋体"/>
          <w:sz w:val="24"/>
          <w:szCs w:val="24"/>
        </w:rPr>
        <w:t>重要部件的</w:t>
      </w:r>
      <w:r>
        <w:rPr>
          <w:rFonts w:ascii="宋体" w:hAnsi="宋体"/>
          <w:sz w:val="24"/>
          <w:szCs w:val="24"/>
        </w:rPr>
        <w:t>控制</w:t>
      </w:r>
      <w:r>
        <w:rPr>
          <w:rFonts w:hint="eastAsia" w:ascii="宋体" w:hAnsi="宋体"/>
          <w:sz w:val="24"/>
          <w:szCs w:val="24"/>
        </w:rPr>
        <w:t>。</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12.2电气系统中启动马达、发电机选用全密封式，蓄电池选用免维护型。蓄电池应选用国际著名蓄电池厂的优质产品，点火开关为复式钥匙点火启动开关，以防止起动机再次啮合运转。</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12.3自充电系统应可靠有效；电气线路（线束）的敷设应合理，并有足够的余量，电线选择应充分考虑高温、紫外线、油污、水冲等不利因素的影响，</w:t>
      </w:r>
      <w:r>
        <w:rPr>
          <w:rFonts w:hint="eastAsia" w:ascii="仿宋" w:hAnsi="仿宋" w:eastAsia="仿宋"/>
          <w:b/>
          <w:sz w:val="24"/>
          <w:szCs w:val="24"/>
        </w:rPr>
        <w:t>防护等级须达到IP67以上</w:t>
      </w:r>
      <w:r>
        <w:rPr>
          <w:rFonts w:hint="eastAsia" w:ascii="宋体" w:hAnsi="宋体"/>
          <w:sz w:val="24"/>
          <w:szCs w:val="24"/>
        </w:rPr>
        <w:t>；线束应与车架有可靠的捆扎和固定；连接线束（或电线）的接插件应采用国际知名品牌的优质产品，接插件及控制系统中通讯信号线应有可靠有效的防腐措施，以确保接插件及通讯信号线与整机同寿命。线束的布置应便于对机器清洗、保养。</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12.4 高空作业平台应装有抗震性能良好的工作灯、照明灯，并安装在相应合适安全的位置上，并配置音量合适的喇叭。</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12.5转台和平台控制均具有紧急停机按钮。</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12.6平台控制要具有脚踏开关。</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12.7配有力矩自动超载装置，限位开关的可靠性要强。</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12.7设置机械式电源总开关，以切断全车用电器的正极。</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12.8控制箱操作按钮简化，转向动作采用摇头开关直接控制。</w:t>
      </w:r>
    </w:p>
    <w:p>
      <w:pPr>
        <w:keepNext/>
        <w:spacing w:beforeLines="100" w:line="480" w:lineRule="exact"/>
        <w:ind w:left="561"/>
        <w:jc w:val="left"/>
        <w:outlineLvl w:val="2"/>
        <w:rPr>
          <w:rFonts w:ascii="Arial" w:hAnsi="Arial" w:eastAsia="华文中宋"/>
          <w:bCs/>
          <w:snapToGrid w:val="0"/>
          <w:kern w:val="0"/>
          <w:sz w:val="28"/>
          <w:szCs w:val="28"/>
        </w:rPr>
      </w:pPr>
      <w:bookmarkStart w:id="231" w:name="_Toc423512282"/>
      <w:bookmarkStart w:id="232" w:name="_Toc295745788"/>
      <w:bookmarkStart w:id="233" w:name="_Toc174419676"/>
      <w:r>
        <w:rPr>
          <w:rFonts w:hint="eastAsia" w:ascii="Arial" w:hAnsi="Arial" w:eastAsia="仿宋_GB2312"/>
          <w:b/>
          <w:snapToGrid w:val="0"/>
          <w:kern w:val="0"/>
          <w:sz w:val="28"/>
          <w:szCs w:val="24"/>
        </w:rPr>
        <w:t>13 润滑系统</w:t>
      </w:r>
      <w:bookmarkEnd w:id="231"/>
      <w:bookmarkEnd w:id="232"/>
      <w:bookmarkEnd w:id="233"/>
    </w:p>
    <w:p>
      <w:pPr>
        <w:spacing w:line="460" w:lineRule="exact"/>
        <w:ind w:left="1079" w:leftChars="228" w:hanging="600" w:hangingChars="250"/>
        <w:jc w:val="left"/>
        <w:rPr>
          <w:rFonts w:ascii="宋体" w:hAnsi="宋体"/>
          <w:sz w:val="24"/>
          <w:szCs w:val="24"/>
        </w:rPr>
      </w:pPr>
      <w:r>
        <w:rPr>
          <w:rFonts w:hint="eastAsia" w:ascii="宋体" w:hAnsi="宋体"/>
          <w:sz w:val="24"/>
          <w:szCs w:val="24"/>
        </w:rPr>
        <w:t>13.1 对需干油润滑的部位，加油点建议采用相对集中布置，并便于维护人员操作。</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13.2 对于高速转动的齿轮应进行强制润滑，油箱（池）应设多道性能良好的滤网，稀油润滑系统应有良好的散热措施并应能控制油温过高。</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13.3 润滑油（脂）应能适应买方所在地的环境温度，并应能用中国大陆的产品替代，应提供符合国标规定的油脂替换对照表。</w:t>
      </w:r>
    </w:p>
    <w:p>
      <w:pPr>
        <w:keepNext/>
        <w:spacing w:beforeLines="100" w:line="480" w:lineRule="exact"/>
        <w:ind w:left="561"/>
        <w:jc w:val="left"/>
        <w:outlineLvl w:val="2"/>
        <w:rPr>
          <w:rFonts w:ascii="Arial" w:hAnsi="Arial" w:eastAsia="华文中宋"/>
          <w:bCs/>
          <w:snapToGrid w:val="0"/>
          <w:kern w:val="0"/>
          <w:sz w:val="28"/>
          <w:szCs w:val="28"/>
        </w:rPr>
      </w:pPr>
      <w:bookmarkStart w:id="234" w:name="_Toc423512283"/>
      <w:bookmarkStart w:id="235" w:name="_Toc174419677"/>
      <w:bookmarkStart w:id="236" w:name="_Toc295745789"/>
      <w:r>
        <w:rPr>
          <w:rFonts w:hint="eastAsia" w:ascii="Arial" w:hAnsi="Arial" w:eastAsia="仿宋_GB2312"/>
          <w:b/>
          <w:snapToGrid w:val="0"/>
          <w:kern w:val="0"/>
          <w:sz w:val="28"/>
          <w:szCs w:val="24"/>
        </w:rPr>
        <w:t>15 表面处理和油漆</w:t>
      </w:r>
      <w:bookmarkEnd w:id="234"/>
      <w:bookmarkEnd w:id="235"/>
      <w:bookmarkEnd w:id="236"/>
    </w:p>
    <w:p>
      <w:pPr>
        <w:spacing w:line="460" w:lineRule="exact"/>
        <w:ind w:left="1079" w:leftChars="228" w:hanging="600" w:hangingChars="250"/>
        <w:jc w:val="left"/>
        <w:rPr>
          <w:rFonts w:ascii="宋体" w:hAnsi="宋体"/>
          <w:sz w:val="24"/>
          <w:szCs w:val="24"/>
        </w:rPr>
      </w:pPr>
      <w:r>
        <w:rPr>
          <w:rFonts w:hint="eastAsia" w:ascii="宋体" w:hAnsi="宋体"/>
          <w:sz w:val="24"/>
          <w:szCs w:val="24"/>
        </w:rPr>
        <w:t>15.1 各结构件下料制作前，必须做好钢材表面的喷丸、喷砂或其它被认可的表面处理工作。表面处理质量应达到SIS中的有关标准。</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15.2 整机涂装前应做好焊渣、焊点、表面油污的清除工作，所有涂装工艺和方法应与用户所在地气候条件相结合。</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15.3 整机的各涂层应均匀完整，漆膜的厚度符合有关标准。确保油漆涂层质量保证期年限不应小于5年。</w:t>
      </w:r>
    </w:p>
    <w:p>
      <w:pPr>
        <w:spacing w:line="460" w:lineRule="exact"/>
        <w:ind w:left="1079" w:leftChars="228" w:hanging="600" w:hangingChars="250"/>
        <w:jc w:val="left"/>
        <w:rPr>
          <w:rFonts w:ascii="宋体" w:hAnsi="宋体"/>
          <w:sz w:val="24"/>
          <w:szCs w:val="24"/>
        </w:rPr>
      </w:pPr>
    </w:p>
    <w:p>
      <w:pPr>
        <w:spacing w:line="460" w:lineRule="exact"/>
        <w:ind w:left="1109" w:leftChars="328" w:hanging="420" w:hangingChars="150"/>
        <w:jc w:val="left"/>
        <w:rPr>
          <w:rFonts w:ascii="宋体" w:hAnsi="宋体"/>
          <w:sz w:val="28"/>
          <w:szCs w:val="28"/>
        </w:rPr>
      </w:pPr>
      <w:r>
        <w:rPr>
          <w:rFonts w:hint="eastAsia" w:ascii="宋体" w:hAnsi="宋体"/>
          <w:sz w:val="28"/>
          <w:szCs w:val="28"/>
        </w:rPr>
        <w:t>16 其它说明及要求</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16.1车辆设有两处放置灭火器的装置，灭火器规格不小于2kg。装置应具有防盗功能。</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16.2车辆应符合GB25849-2010及国家有关环保、安全的要求。</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16.3平台控制中的车辆行走、臂杆起伏、臂杆回转及臂杆伸缩必须采用电磁比例控制，其余控制可采用开关控制。</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16.4平台和转台都应设置倾斜报警装置，在确保安全的情况下，报警角度不小于5度。</w:t>
      </w:r>
    </w:p>
    <w:p>
      <w:pPr>
        <w:spacing w:line="460" w:lineRule="exact"/>
        <w:ind w:left="1140" w:leftChars="200" w:hanging="720" w:hangingChars="300"/>
        <w:jc w:val="left"/>
        <w:rPr>
          <w:rFonts w:ascii="宋体" w:hAnsi="宋体"/>
          <w:sz w:val="24"/>
          <w:szCs w:val="24"/>
        </w:rPr>
      </w:pPr>
      <w:r>
        <w:rPr>
          <w:rFonts w:hint="eastAsia" w:ascii="宋体" w:hAnsi="宋体"/>
          <w:sz w:val="24"/>
          <w:szCs w:val="24"/>
        </w:rPr>
        <w:t>16.5柴油箱和油液压箱设有放油孔和清洗孔。</w:t>
      </w:r>
    </w:p>
    <w:p>
      <w:pPr>
        <w:keepNext/>
        <w:spacing w:beforeLines="100" w:line="480" w:lineRule="exact"/>
        <w:ind w:left="561"/>
        <w:jc w:val="left"/>
        <w:outlineLvl w:val="2"/>
        <w:rPr>
          <w:rFonts w:ascii="Arial" w:hAnsi="Arial" w:eastAsia="华文中宋"/>
          <w:bCs/>
          <w:snapToGrid w:val="0"/>
          <w:kern w:val="0"/>
          <w:sz w:val="28"/>
          <w:szCs w:val="28"/>
        </w:rPr>
      </w:pPr>
      <w:bookmarkStart w:id="237" w:name="_Toc174419679"/>
      <w:bookmarkStart w:id="238" w:name="_Toc423512285"/>
      <w:bookmarkStart w:id="239" w:name="_Toc171843353"/>
      <w:bookmarkStart w:id="240" w:name="_Toc295745791"/>
      <w:r>
        <w:rPr>
          <w:rFonts w:hint="eastAsia" w:ascii="Arial" w:hAnsi="Arial" w:eastAsia="仿宋_GB2312"/>
          <w:b/>
          <w:snapToGrid w:val="0"/>
          <w:kern w:val="0"/>
          <w:sz w:val="28"/>
          <w:szCs w:val="24"/>
        </w:rPr>
        <w:t>17 各种铭牌及标记</w:t>
      </w:r>
      <w:bookmarkEnd w:id="237"/>
      <w:bookmarkEnd w:id="238"/>
      <w:bookmarkEnd w:id="239"/>
      <w:bookmarkEnd w:id="240"/>
    </w:p>
    <w:p>
      <w:pPr>
        <w:spacing w:line="460" w:lineRule="exact"/>
        <w:ind w:left="1079" w:leftChars="228" w:hanging="600" w:hangingChars="250"/>
        <w:jc w:val="left"/>
        <w:rPr>
          <w:rFonts w:ascii="宋体" w:hAnsi="宋体"/>
          <w:sz w:val="24"/>
          <w:szCs w:val="24"/>
        </w:rPr>
      </w:pPr>
      <w:r>
        <w:rPr>
          <w:rFonts w:hint="eastAsia" w:ascii="宋体" w:hAnsi="宋体"/>
          <w:sz w:val="24"/>
          <w:szCs w:val="24"/>
        </w:rPr>
        <w:t>17.1 在高空作业平台醒目避碰的合适位置，应设置包括下列内容的铭牌：</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a) 制造厂名称；</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b) 产品名称；</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c) 产品型号；</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d) 制造日期或生产批号；</w:t>
      </w:r>
    </w:p>
    <w:p>
      <w:pPr>
        <w:spacing w:line="460" w:lineRule="exact"/>
        <w:ind w:left="630" w:leftChars="300" w:firstLine="480" w:firstLineChars="200"/>
        <w:jc w:val="left"/>
        <w:rPr>
          <w:rFonts w:ascii="宋体" w:hAnsi="宋体"/>
          <w:sz w:val="24"/>
          <w:szCs w:val="24"/>
        </w:rPr>
      </w:pPr>
      <w:r>
        <w:rPr>
          <w:rFonts w:hint="eastAsia" w:ascii="宋体" w:hAnsi="宋体"/>
          <w:sz w:val="24"/>
          <w:szCs w:val="24"/>
        </w:rPr>
        <w:t>e) 产品的主参数。</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17.2 在司机便于观察的位置应设有“润滑图表”，并注明所有润滑油（脂）的名称、种类、数量及换油周期。</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17.3 所有控制手柄、按钮上均有说明其用途、操作方向并符合有关标准规定的标志。</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17.4 在易发生危险的部位除应采取必要的防护措施外，还应设有符合有关标准规定的安全警告标志。</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17.5 高空作业平台各大部件的铭牌也应完整无缺，不应被油漆覆盖或在装配过程中遗失。</w:t>
      </w:r>
    </w:p>
    <w:p>
      <w:pPr>
        <w:keepNext/>
        <w:spacing w:beforeLines="100" w:line="480" w:lineRule="exact"/>
        <w:ind w:left="561"/>
        <w:jc w:val="left"/>
        <w:outlineLvl w:val="2"/>
        <w:rPr>
          <w:rFonts w:ascii="Arial" w:hAnsi="Arial" w:eastAsia="仿宋_GB2312"/>
          <w:b/>
          <w:snapToGrid w:val="0"/>
          <w:kern w:val="0"/>
          <w:sz w:val="28"/>
          <w:szCs w:val="24"/>
        </w:rPr>
      </w:pPr>
      <w:bookmarkStart w:id="241" w:name="_Toc174419680"/>
      <w:bookmarkStart w:id="242" w:name="_Toc295745792"/>
      <w:bookmarkStart w:id="243" w:name="_Toc171843355"/>
      <w:bookmarkStart w:id="244" w:name="_Toc423512286"/>
      <w:bookmarkStart w:id="245" w:name="_Toc171762354"/>
      <w:r>
        <w:rPr>
          <w:rFonts w:hint="eastAsia" w:ascii="Arial" w:hAnsi="Arial" w:eastAsia="仿宋_GB2312"/>
          <w:b/>
          <w:snapToGrid w:val="0"/>
          <w:kern w:val="0"/>
          <w:sz w:val="28"/>
          <w:szCs w:val="24"/>
        </w:rPr>
        <w:t>18 随机资料</w:t>
      </w:r>
      <w:bookmarkEnd w:id="241"/>
      <w:bookmarkEnd w:id="242"/>
      <w:bookmarkEnd w:id="243"/>
      <w:bookmarkEnd w:id="244"/>
      <w:bookmarkEnd w:id="245"/>
    </w:p>
    <w:p>
      <w:pPr>
        <w:spacing w:line="460" w:lineRule="exact"/>
        <w:ind w:left="840" w:leftChars="400"/>
        <w:jc w:val="left"/>
        <w:rPr>
          <w:rFonts w:ascii="宋体" w:hAnsi="宋体"/>
          <w:sz w:val="24"/>
          <w:szCs w:val="24"/>
        </w:rPr>
      </w:pPr>
      <w:r>
        <w:rPr>
          <w:rFonts w:hint="eastAsia" w:ascii="宋体" w:hAnsi="宋体"/>
          <w:sz w:val="24"/>
          <w:szCs w:val="24"/>
        </w:rPr>
        <w:t>卖方应在投标时提供随机资料的详细清单，这些资料应是免费提供的、并且至少含有中文版全套纸质资料壹套/台，中文电子版资料壹套/台。随机资料至少包括以下内容：</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(1) 外形尺寸图；</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(2) 主要机构部件图；</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(3) 电气控制系统原理图、接线图；</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(4) 液压系统原理图；</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(5) 润滑系统原理图，润滑图表；</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(6) 设备清单、工具和附件清单、随机备件清单、易损耗备件清单；</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(7) 外购产品说明书和构造图；</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(8) 维修保养指导手册；</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(9) 使用说明、操作规程和零件手册；</w:t>
      </w:r>
    </w:p>
    <w:p>
      <w:pPr>
        <w:spacing w:line="460" w:lineRule="exact"/>
        <w:ind w:left="1499" w:leftChars="428" w:hanging="600" w:hangingChars="250"/>
        <w:jc w:val="left"/>
        <w:rPr>
          <w:rFonts w:ascii="宋体" w:hAnsi="宋体"/>
          <w:sz w:val="24"/>
          <w:szCs w:val="24"/>
        </w:rPr>
      </w:pPr>
      <w:r>
        <w:rPr>
          <w:rFonts w:hint="eastAsia" w:ascii="宋体" w:hAnsi="宋体"/>
          <w:sz w:val="24"/>
          <w:szCs w:val="24"/>
        </w:rPr>
        <w:t>(10) 燃油、润滑油、液压油等牌号和参数，并注明中国相应替代品的牌号和参数；</w:t>
      </w:r>
    </w:p>
    <w:p>
      <w:pPr>
        <w:spacing w:line="460" w:lineRule="exact"/>
        <w:ind w:left="420" w:leftChars="200" w:firstLine="480" w:firstLineChars="200"/>
        <w:jc w:val="left"/>
        <w:rPr>
          <w:rFonts w:ascii="宋体" w:hAnsi="宋体"/>
          <w:sz w:val="24"/>
          <w:szCs w:val="24"/>
        </w:rPr>
      </w:pPr>
      <w:r>
        <w:rPr>
          <w:rFonts w:hint="eastAsia" w:ascii="宋体" w:hAnsi="宋体"/>
          <w:sz w:val="24"/>
          <w:szCs w:val="24"/>
        </w:rPr>
        <w:t>(11) 由制造商签发的整机及发动机的合格证明或原产地证明。</w:t>
      </w:r>
    </w:p>
    <w:p>
      <w:pPr>
        <w:keepNext/>
        <w:spacing w:beforeLines="100" w:line="480" w:lineRule="exact"/>
        <w:ind w:left="561"/>
        <w:jc w:val="left"/>
        <w:outlineLvl w:val="2"/>
        <w:rPr>
          <w:rFonts w:ascii="Arial" w:hAnsi="Arial" w:eastAsia="华文中宋"/>
          <w:bCs/>
          <w:snapToGrid w:val="0"/>
          <w:kern w:val="0"/>
          <w:sz w:val="28"/>
          <w:szCs w:val="28"/>
        </w:rPr>
      </w:pPr>
      <w:bookmarkStart w:id="246" w:name="_Toc171843356"/>
      <w:bookmarkStart w:id="247" w:name="_Toc423512287"/>
      <w:bookmarkStart w:id="248" w:name="_Toc174419681"/>
      <w:bookmarkStart w:id="249" w:name="_Toc295745793"/>
      <w:r>
        <w:rPr>
          <w:rFonts w:hint="eastAsia" w:ascii="Arial" w:hAnsi="Arial" w:eastAsia="仿宋_GB2312"/>
          <w:b/>
          <w:snapToGrid w:val="0"/>
          <w:kern w:val="0"/>
          <w:sz w:val="28"/>
          <w:szCs w:val="24"/>
        </w:rPr>
        <w:t>19 随机配件及工具</w:t>
      </w:r>
      <w:bookmarkEnd w:id="246"/>
      <w:bookmarkEnd w:id="247"/>
      <w:bookmarkEnd w:id="248"/>
      <w:bookmarkEnd w:id="249"/>
    </w:p>
    <w:p>
      <w:pPr>
        <w:spacing w:line="460" w:lineRule="exact"/>
        <w:ind w:left="1079" w:leftChars="228" w:hanging="600" w:hangingChars="250"/>
        <w:jc w:val="left"/>
        <w:rPr>
          <w:rFonts w:ascii="宋体" w:hAnsi="宋体"/>
          <w:sz w:val="24"/>
          <w:szCs w:val="24"/>
        </w:rPr>
      </w:pPr>
      <w:r>
        <w:rPr>
          <w:rFonts w:hint="eastAsia" w:ascii="宋体" w:hAnsi="宋体"/>
          <w:sz w:val="24"/>
          <w:szCs w:val="24"/>
        </w:rPr>
        <w:t>19.1 卖方应在投标时提供随机配件的详细清单（清单必须包括零件名称、零件编号、数量、使用部位、单价，总价等）。随机配件价格列入投标总价。</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19.2 卖方应在投标时提供随机工具（含专用工具）的详细清单（清单必须包括工具名称、编号、数量、单价，总价等）。随机工具价格列入投标总价。</w:t>
      </w:r>
    </w:p>
    <w:p>
      <w:pPr>
        <w:keepNext/>
        <w:spacing w:beforeLines="100" w:line="480" w:lineRule="exact"/>
        <w:ind w:left="561"/>
        <w:jc w:val="left"/>
        <w:outlineLvl w:val="2"/>
        <w:rPr>
          <w:rFonts w:ascii="Arial" w:hAnsi="Arial" w:eastAsia="仿宋_GB2312"/>
          <w:b/>
          <w:snapToGrid w:val="0"/>
          <w:kern w:val="0"/>
          <w:sz w:val="28"/>
          <w:szCs w:val="24"/>
        </w:rPr>
      </w:pPr>
      <w:bookmarkStart w:id="250" w:name="_Toc174419682"/>
      <w:bookmarkStart w:id="251" w:name="_Toc171843357"/>
      <w:bookmarkStart w:id="252" w:name="_Toc171762355"/>
      <w:bookmarkStart w:id="253" w:name="_Toc423512288"/>
      <w:bookmarkStart w:id="254" w:name="_Toc295745794"/>
      <w:r>
        <w:rPr>
          <w:rFonts w:hint="eastAsia" w:ascii="Arial" w:hAnsi="Arial" w:eastAsia="仿宋_GB2312"/>
          <w:b/>
          <w:snapToGrid w:val="0"/>
          <w:kern w:val="0"/>
          <w:sz w:val="28"/>
          <w:szCs w:val="24"/>
        </w:rPr>
        <w:t>20 培训</w:t>
      </w:r>
      <w:bookmarkEnd w:id="250"/>
      <w:bookmarkEnd w:id="251"/>
      <w:bookmarkEnd w:id="252"/>
      <w:bookmarkEnd w:id="253"/>
      <w:bookmarkEnd w:id="254"/>
    </w:p>
    <w:p>
      <w:pPr>
        <w:spacing w:line="460" w:lineRule="exact"/>
        <w:ind w:left="1079" w:leftChars="228" w:hanging="600" w:hangingChars="250"/>
        <w:jc w:val="left"/>
        <w:rPr>
          <w:rFonts w:ascii="宋体" w:hAnsi="宋体"/>
          <w:sz w:val="24"/>
          <w:szCs w:val="24"/>
        </w:rPr>
      </w:pPr>
      <w:r>
        <w:rPr>
          <w:rFonts w:hint="eastAsia" w:ascii="宋体" w:hAnsi="宋体"/>
          <w:sz w:val="24"/>
          <w:szCs w:val="24"/>
        </w:rPr>
        <w:t>20.1 提供两次质保期内的安全操作技术培训，一次为合同设备到港后，设备交接验收前进行,重点对高空作业平台操作（司机）、安全使用、日常维护等方面进行培训；另一次为合同设备运行六个月后进行。为高空作业平台用户所在地现场，培训对象为维修人员，培训时间不少于20个小时。</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20.2提供不少于15人操作司机的培训，培训合格人员由厂家发操作证书。</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20.3 提供2人次的高空作业平台维修技术专业培训，培训地点高空作业平台制造工厂所在地或其在中国大陆的培训中心进行。</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20.4 提供的各次培训均应提供相应的培训教材，并进行相应的培训考核。投标人在其投标文件中应提供具体的培训方案，以供评标时参考。</w:t>
      </w:r>
    </w:p>
    <w:p>
      <w:pPr>
        <w:keepNext/>
        <w:spacing w:beforeLines="100" w:line="480" w:lineRule="exact"/>
        <w:ind w:left="561"/>
        <w:jc w:val="left"/>
        <w:outlineLvl w:val="2"/>
        <w:rPr>
          <w:rFonts w:ascii="Arial" w:hAnsi="Arial" w:eastAsia="仿宋_GB2312"/>
          <w:b/>
          <w:snapToGrid w:val="0"/>
          <w:kern w:val="0"/>
          <w:sz w:val="28"/>
          <w:szCs w:val="24"/>
        </w:rPr>
      </w:pPr>
      <w:bookmarkStart w:id="255" w:name="_Toc295745795"/>
      <w:bookmarkStart w:id="256" w:name="_Toc174419683"/>
      <w:bookmarkStart w:id="257" w:name="_Toc171762356"/>
      <w:bookmarkStart w:id="258" w:name="_Toc171843358"/>
      <w:bookmarkStart w:id="259" w:name="_Toc423512289"/>
      <w:r>
        <w:rPr>
          <w:rFonts w:hint="eastAsia" w:ascii="Arial" w:hAnsi="Arial" w:eastAsia="仿宋_GB2312"/>
          <w:b/>
          <w:snapToGrid w:val="0"/>
          <w:kern w:val="0"/>
          <w:sz w:val="28"/>
          <w:szCs w:val="24"/>
        </w:rPr>
        <w:t>21 交接验收</w:t>
      </w:r>
      <w:bookmarkEnd w:id="255"/>
      <w:bookmarkEnd w:id="256"/>
      <w:bookmarkEnd w:id="257"/>
      <w:bookmarkEnd w:id="258"/>
      <w:bookmarkEnd w:id="259"/>
    </w:p>
    <w:p>
      <w:pPr>
        <w:spacing w:line="460" w:lineRule="exact"/>
        <w:ind w:left="1079" w:leftChars="228" w:hanging="600" w:hangingChars="250"/>
        <w:jc w:val="left"/>
        <w:rPr>
          <w:rFonts w:ascii="宋体" w:hAnsi="宋体"/>
          <w:sz w:val="24"/>
          <w:szCs w:val="24"/>
        </w:rPr>
      </w:pPr>
      <w:r>
        <w:rPr>
          <w:rFonts w:hint="eastAsia" w:ascii="宋体" w:hAnsi="宋体"/>
          <w:sz w:val="24"/>
          <w:szCs w:val="24"/>
        </w:rPr>
        <w:t>21.1 高空作业平台由卖方运抵至买方指定场所后，卖方应安排技术、商务代表到现场，做好高空作业平台在买方场地的检查、调试等工作，确认高空作业平台完整、完好。并做好与买方一起完成对整机的性能测定。</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21.2 在共同完成了对高空作业平台数量核对、完整完好性检查、整机性能测试、随机资料文件、随机备件、随机工具的核对工作，卖方已完成对买方操作人员第一次的使用培训工作，并确认的全部内容、全部技术性能等都符合本技术规格书和买卖双方签署的买卖合同要求后，双方在买方使用现场进行交机文件的签署。</w:t>
      </w:r>
    </w:p>
    <w:p>
      <w:pPr>
        <w:keepNext/>
        <w:spacing w:beforeLines="100" w:line="480" w:lineRule="exact"/>
        <w:ind w:left="561"/>
        <w:jc w:val="left"/>
        <w:outlineLvl w:val="2"/>
        <w:rPr>
          <w:rFonts w:ascii="Arial" w:hAnsi="Arial" w:eastAsia="华文中宋"/>
          <w:bCs/>
          <w:snapToGrid w:val="0"/>
          <w:kern w:val="0"/>
          <w:sz w:val="28"/>
          <w:szCs w:val="28"/>
        </w:rPr>
      </w:pPr>
      <w:bookmarkStart w:id="260" w:name="_Toc295745796"/>
      <w:bookmarkStart w:id="261" w:name="_Toc171843359"/>
      <w:bookmarkStart w:id="262" w:name="_Toc174419684"/>
      <w:bookmarkStart w:id="263" w:name="_Toc423512290"/>
      <w:bookmarkStart w:id="264" w:name="_Toc171762357"/>
      <w:r>
        <w:rPr>
          <w:rFonts w:hint="eastAsia" w:ascii="Arial" w:hAnsi="Arial" w:eastAsia="仿宋_GB2312"/>
          <w:b/>
          <w:snapToGrid w:val="0"/>
          <w:kern w:val="0"/>
          <w:sz w:val="28"/>
          <w:szCs w:val="24"/>
        </w:rPr>
        <w:t>22 质量保证</w:t>
      </w:r>
      <w:bookmarkEnd w:id="260"/>
      <w:bookmarkEnd w:id="261"/>
      <w:bookmarkEnd w:id="262"/>
      <w:bookmarkEnd w:id="263"/>
      <w:bookmarkEnd w:id="264"/>
    </w:p>
    <w:p>
      <w:pPr>
        <w:spacing w:line="460" w:lineRule="exact"/>
        <w:ind w:left="1079" w:leftChars="228" w:hanging="600" w:hangingChars="250"/>
        <w:jc w:val="left"/>
        <w:rPr>
          <w:rFonts w:ascii="宋体" w:hAnsi="宋体"/>
          <w:sz w:val="24"/>
          <w:szCs w:val="24"/>
        </w:rPr>
      </w:pPr>
      <w:r>
        <w:rPr>
          <w:rFonts w:hint="eastAsia" w:ascii="宋体" w:hAnsi="宋体"/>
          <w:sz w:val="24"/>
          <w:szCs w:val="24"/>
        </w:rPr>
        <w:t>22.1 高空作业平台的整机质量保证期为二十四（24）个月。</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22.2 在质量保证期期间，合同货物因设计、材料或工艺的缺陷需要进行必要的修理和/或修改，但由于缺乏所需的零部件或材料或未能更正设计缺陷，质量保证期的计算中止，此时卖方仍负有进行必要的修理和/或修改的责任，直至该缺陷彻底消除，缺陷消除，合同货物投入正常使用后，质量保证期的计算开始恢复。</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22.3 卖方保证合同货物的设计、材料和工艺没有缺陷。高空作业平台的重要零部件如发动机、液压主泵、主阀、行走机构、回转机构及主要结构件（臂杆、臂架、平台、下车架）如因上述缺陷导致发生故障，接买方的通知，根据尽可能减少停机时间和所发生的故障对合同货物使用寿命的影响程度以及实际的故障情况，卖方应及时安排修理或更换有缺陷的部件或整机。买方可自行安排这种必要的修理或更换工作，费用由卖方承担。</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22.4 卖方质量保证内容不包括对由于火灾、偷窃、意外、故意破坏和买方人员的使用或保管不当、疏忽产生的损坏进行修理所需的零件和劳力。</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22.5 买方应根据制造商或卖方的建议对所提供的高空作业平台进行维修保养，卖方有权在任何适当的时候检查设备并提出修理、改进、维修等建议。</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22.6 卖方应对其所提供高空作业平台上的所有材料和附件负责，不管是高空作业平台制造厂生产的还是外购件。</w:t>
      </w:r>
    </w:p>
    <w:p>
      <w:pPr>
        <w:keepNext/>
        <w:spacing w:beforeLines="100" w:line="480" w:lineRule="exact"/>
        <w:ind w:left="561"/>
        <w:jc w:val="left"/>
        <w:outlineLvl w:val="2"/>
        <w:rPr>
          <w:rFonts w:ascii="Arial" w:hAnsi="Arial" w:eastAsia="华文中宋"/>
          <w:bCs/>
          <w:snapToGrid w:val="0"/>
          <w:kern w:val="0"/>
          <w:sz w:val="28"/>
          <w:szCs w:val="28"/>
        </w:rPr>
      </w:pPr>
      <w:bookmarkStart w:id="265" w:name="_Toc423512291"/>
      <w:bookmarkStart w:id="266" w:name="_Toc295745797"/>
      <w:bookmarkStart w:id="267" w:name="_Toc171762358"/>
      <w:bookmarkStart w:id="268" w:name="_Toc171843360"/>
      <w:bookmarkStart w:id="269" w:name="_Toc174419685"/>
      <w:r>
        <w:rPr>
          <w:rFonts w:hint="eastAsia" w:ascii="Arial" w:hAnsi="Arial" w:eastAsia="仿宋_GB2312"/>
          <w:b/>
          <w:snapToGrid w:val="0"/>
          <w:kern w:val="0"/>
          <w:sz w:val="28"/>
          <w:szCs w:val="24"/>
        </w:rPr>
        <w:t>23 售后服务</w:t>
      </w:r>
      <w:bookmarkEnd w:id="265"/>
      <w:bookmarkEnd w:id="266"/>
      <w:bookmarkEnd w:id="267"/>
      <w:bookmarkEnd w:id="268"/>
      <w:bookmarkEnd w:id="269"/>
    </w:p>
    <w:p>
      <w:pPr>
        <w:spacing w:line="460" w:lineRule="exact"/>
        <w:ind w:left="1079" w:leftChars="228" w:hanging="600" w:hangingChars="250"/>
        <w:jc w:val="left"/>
        <w:rPr>
          <w:rFonts w:ascii="宋体" w:hAnsi="宋体"/>
          <w:sz w:val="24"/>
          <w:szCs w:val="24"/>
        </w:rPr>
      </w:pPr>
      <w:r>
        <w:rPr>
          <w:rFonts w:hint="eastAsia" w:ascii="宋体" w:hAnsi="宋体"/>
          <w:sz w:val="24"/>
          <w:szCs w:val="24"/>
        </w:rPr>
        <w:t>23.1 投标文件中应明确指定负责本项目合格的维修保养单位，在距用户所在地最近的地区应有相当规模的备件库以满足日常检验及应急修理的需要。确保在接买方通知后8小时内，将所需配件送达。</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23.2 在质保期内，因卖方所供设备制造质量问题出现设备故障时，卖方在接买方通知后，在8小时内赶到买方现场,免费予以排除故障、修复或更换零部件,并赔偿买方因此造成的损失。而因买方使用不当原因出现设备故障时，卖方在接买方通知后，应在本条所述的时限内赶到买方现场，帮助排除故障、修复或更换零部件，需更换零部件时，酌情收取成本费。</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23.3 在质保期满后，出现设备故障时，卖方仍需做好售后服务，并在上述时限内赶到现场，及时处理解决，并以优于市场的价格收取零部件费及人工费。</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23.4 卖方</w:t>
      </w:r>
      <w:r>
        <w:rPr>
          <w:rFonts w:ascii="宋体" w:hAnsi="宋体"/>
          <w:sz w:val="24"/>
          <w:szCs w:val="24"/>
        </w:rPr>
        <w:t>应提供终身维保服务。</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23.5 在合同设备使用寿命周期内，卖方及卖方的维修机构对合同货物实施运行维护及修理，但前提条件是该服务并不能免除卖方在合同保证期内所承担的义务。</w:t>
      </w:r>
    </w:p>
    <w:p>
      <w:pPr>
        <w:keepNext/>
        <w:spacing w:beforeLines="100" w:line="480" w:lineRule="exact"/>
        <w:ind w:left="561"/>
        <w:jc w:val="left"/>
        <w:outlineLvl w:val="2"/>
        <w:rPr>
          <w:rFonts w:ascii="Arial" w:hAnsi="Arial" w:eastAsia="仿宋_GB2312"/>
          <w:b/>
          <w:snapToGrid w:val="0"/>
          <w:kern w:val="0"/>
          <w:sz w:val="28"/>
          <w:szCs w:val="24"/>
        </w:rPr>
      </w:pPr>
      <w:bookmarkStart w:id="270" w:name="_Toc423512292"/>
      <w:bookmarkStart w:id="271" w:name="_Toc295745798"/>
      <w:bookmarkStart w:id="272" w:name="_Toc171843361"/>
      <w:bookmarkStart w:id="273" w:name="_Toc174419686"/>
      <w:r>
        <w:rPr>
          <w:rFonts w:hint="eastAsia" w:ascii="Arial" w:hAnsi="Arial" w:eastAsia="仿宋_GB2312"/>
          <w:b/>
          <w:snapToGrid w:val="0"/>
          <w:kern w:val="0"/>
          <w:sz w:val="28"/>
          <w:szCs w:val="24"/>
        </w:rPr>
        <w:t>24 投标资料</w:t>
      </w:r>
      <w:bookmarkEnd w:id="270"/>
      <w:bookmarkEnd w:id="271"/>
      <w:bookmarkEnd w:id="272"/>
      <w:bookmarkEnd w:id="273"/>
    </w:p>
    <w:p>
      <w:pPr>
        <w:spacing w:line="460" w:lineRule="exact"/>
        <w:ind w:left="420" w:leftChars="200" w:firstLine="480" w:firstLineChars="200"/>
        <w:jc w:val="left"/>
        <w:rPr>
          <w:rFonts w:ascii="宋体" w:hAnsi="宋体"/>
          <w:sz w:val="24"/>
          <w:szCs w:val="24"/>
        </w:rPr>
      </w:pPr>
      <w:r>
        <w:rPr>
          <w:rFonts w:hint="eastAsia" w:ascii="宋体" w:hAnsi="宋体"/>
          <w:sz w:val="24"/>
          <w:szCs w:val="24"/>
        </w:rPr>
        <w:t>投标人在投标时应提供下述资料，但不仅限于以下内容：</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 高空作业平台的主要技术性能参数表和招标要求/投标商规格差异表；</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24.2 发动机的性能和参数。包括型号和制造厂、最大功率、额定转速、最大扭矩、油耗、允许倾斜角度、噪音、尾气排放指标及发动机的外特性图等；</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24.3 电气控制系统原理图（含发动机转速控制原理图）、电气元器件原产地等；</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24.4 液压系统说明（附原理图）：液压元器件性能参数、原产地；液压系统主回路压力；</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24.5 润滑系统原理图及特点说明；</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24.6 行走系统结构图，驱动轮布置方式，以及行走系统其他部件结构特点的详细说明；</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24.7 工作装置主要部件结构图纸，工作装置中各联结铰点的详细特点说明；</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24.8 操纵系统的功能特点的详细说明；</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24.9 转台、下车架结构图及详细说明；</w:t>
      </w:r>
    </w:p>
    <w:p>
      <w:pPr>
        <w:spacing w:line="460" w:lineRule="exact"/>
        <w:ind w:firstLine="480" w:firstLineChars="200"/>
        <w:jc w:val="left"/>
        <w:rPr>
          <w:rFonts w:ascii="宋体" w:hAnsi="宋体"/>
          <w:sz w:val="24"/>
          <w:szCs w:val="24"/>
        </w:rPr>
      </w:pPr>
      <w:r>
        <w:rPr>
          <w:rFonts w:hint="eastAsia" w:ascii="宋体" w:hAnsi="宋体"/>
          <w:sz w:val="24"/>
          <w:szCs w:val="24"/>
        </w:rPr>
        <w:t>24.10 高空作业平台工作范围图示及说明；</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24.11 随机备件和配件清单；</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24.12 随机工具和附件清单；</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24.13 随机资料目录清单；</w:t>
      </w:r>
    </w:p>
    <w:p>
      <w:pPr>
        <w:spacing w:line="460" w:lineRule="exact"/>
        <w:ind w:left="1199" w:leftChars="228" w:hanging="720" w:hangingChars="300"/>
        <w:jc w:val="left"/>
        <w:rPr>
          <w:rFonts w:ascii="宋体" w:hAnsi="宋体"/>
          <w:sz w:val="24"/>
          <w:szCs w:val="24"/>
        </w:rPr>
      </w:pPr>
      <w:r>
        <w:rPr>
          <w:rFonts w:hint="eastAsia" w:ascii="宋体" w:hAnsi="宋体"/>
          <w:sz w:val="24"/>
          <w:szCs w:val="24"/>
        </w:rPr>
        <w:t>24.14 高空作业平台设计、制造、检验过程中所涉及的规范、标准的有关条文内容（包括详细数据和许可偏差范围）；</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24.15 整机各机构部件的配置清单；</w:t>
      </w:r>
    </w:p>
    <w:p>
      <w:pPr>
        <w:spacing w:line="460" w:lineRule="exact"/>
        <w:ind w:left="1079" w:leftChars="228" w:hanging="600" w:hangingChars="250"/>
        <w:jc w:val="left"/>
        <w:rPr>
          <w:rFonts w:ascii="宋体" w:hAnsi="宋体"/>
          <w:sz w:val="24"/>
          <w:szCs w:val="24"/>
        </w:rPr>
      </w:pPr>
      <w:r>
        <w:rPr>
          <w:rFonts w:hint="eastAsia" w:ascii="宋体" w:hAnsi="宋体"/>
          <w:sz w:val="24"/>
          <w:szCs w:val="24"/>
        </w:rPr>
        <w:t>24.16 投标货物性能一览表（格式见附录）</w:t>
      </w:r>
    </w:p>
    <w:p>
      <w:pPr>
        <w:spacing w:line="460" w:lineRule="exact"/>
        <w:ind w:left="1199" w:leftChars="228" w:hanging="720" w:hangingChars="300"/>
        <w:jc w:val="left"/>
        <w:rPr>
          <w:rFonts w:ascii="宋体" w:hAnsi="宋体"/>
          <w:sz w:val="24"/>
          <w:szCs w:val="24"/>
        </w:rPr>
      </w:pPr>
      <w:r>
        <w:rPr>
          <w:rFonts w:hint="eastAsia" w:ascii="宋体" w:hAnsi="宋体"/>
          <w:sz w:val="24"/>
          <w:szCs w:val="24"/>
        </w:rPr>
        <w:t>24.17 招标人要求提供的、以及投标人认为有必要提供的其他资料；</w:t>
      </w:r>
    </w:p>
    <w:p>
      <w:pPr>
        <w:spacing w:line="460" w:lineRule="exact"/>
        <w:ind w:left="1199" w:leftChars="228" w:hanging="720" w:hangingChars="300"/>
        <w:jc w:val="left"/>
        <w:rPr>
          <w:rFonts w:ascii="宋体" w:hAnsi="宋体"/>
          <w:sz w:val="24"/>
          <w:szCs w:val="24"/>
        </w:rPr>
      </w:pPr>
      <w:r>
        <w:rPr>
          <w:rFonts w:hint="eastAsia" w:ascii="宋体" w:hAnsi="宋体"/>
          <w:sz w:val="24"/>
          <w:szCs w:val="24"/>
        </w:rPr>
        <w:t>24.18 上述要求提供的技术资料及投标文件的电子文档。</w:t>
      </w:r>
    </w:p>
    <w:p>
      <w:pPr>
        <w:rPr>
          <w:rFonts w:ascii="宋体" w:hAnsi="宋体"/>
          <w:sz w:val="24"/>
          <w:szCs w:val="24"/>
        </w:rPr>
      </w:pPr>
    </w:p>
    <w:p>
      <w:pPr>
        <w:keepNext/>
        <w:spacing w:beforeLines="100" w:line="480" w:lineRule="exact"/>
        <w:ind w:left="561"/>
        <w:jc w:val="left"/>
        <w:outlineLvl w:val="2"/>
        <w:rPr>
          <w:rFonts w:ascii="Arial" w:hAnsi="Arial" w:eastAsia="仿宋_GB2312"/>
          <w:b/>
          <w:snapToGrid w:val="0"/>
          <w:kern w:val="0"/>
          <w:sz w:val="28"/>
          <w:szCs w:val="24"/>
        </w:rPr>
        <w:sectPr>
          <w:pgSz w:w="11906" w:h="16838"/>
          <w:pgMar w:top="1418" w:right="1588" w:bottom="1418" w:left="1365" w:header="851" w:footer="907" w:gutter="0"/>
          <w:cols w:space="720" w:num="1"/>
          <w:titlePg/>
          <w:docGrid w:type="lines" w:linePitch="290" w:charSpace="0"/>
        </w:sectPr>
      </w:pPr>
    </w:p>
    <w:p>
      <w:pPr>
        <w:keepNext/>
        <w:spacing w:beforeLines="100" w:line="480" w:lineRule="exact"/>
        <w:ind w:left="561"/>
        <w:jc w:val="left"/>
        <w:outlineLvl w:val="2"/>
        <w:rPr>
          <w:rFonts w:ascii="Arial" w:hAnsi="Arial" w:eastAsia="仿宋_GB2312"/>
          <w:b/>
          <w:snapToGrid w:val="0"/>
          <w:kern w:val="0"/>
          <w:sz w:val="28"/>
          <w:szCs w:val="24"/>
        </w:rPr>
      </w:pPr>
      <w:r>
        <w:rPr>
          <w:rFonts w:hint="eastAsia" w:ascii="Arial" w:hAnsi="Arial" w:eastAsia="仿宋_GB2312"/>
          <w:b/>
          <w:snapToGrid w:val="0"/>
          <w:kern w:val="0"/>
          <w:sz w:val="28"/>
          <w:szCs w:val="24"/>
        </w:rPr>
        <w:t>25 投标货物技术性能表</w:t>
      </w:r>
    </w:p>
    <w:p>
      <w:pPr>
        <w:spacing w:beforeLines="100"/>
        <w:rPr>
          <w:rFonts w:ascii="宋体" w:hAnsi="宋体"/>
          <w:snapToGrid w:val="0"/>
          <w:kern w:val="0"/>
          <w:sz w:val="24"/>
          <w:u w:val="single"/>
        </w:rPr>
      </w:pPr>
      <w:r>
        <w:rPr>
          <w:rFonts w:hint="eastAsia" w:ascii="宋体" w:hAnsi="宋体"/>
          <w:snapToGrid w:val="0"/>
          <w:kern w:val="0"/>
          <w:sz w:val="24"/>
        </w:rPr>
        <w:t>项目编号：</w:t>
      </w:r>
    </w:p>
    <w:tbl>
      <w:tblPr>
        <w:tblStyle w:val="53"/>
        <w:tblW w:w="0" w:type="auto"/>
        <w:tblInd w:w="93" w:type="dxa"/>
        <w:tblLayout w:type="autofit"/>
        <w:tblCellMar>
          <w:top w:w="0" w:type="dxa"/>
          <w:left w:w="108" w:type="dxa"/>
          <w:bottom w:w="0" w:type="dxa"/>
          <w:right w:w="108" w:type="dxa"/>
        </w:tblCellMar>
      </w:tblPr>
      <w:tblGrid>
        <w:gridCol w:w="3442"/>
        <w:gridCol w:w="4987"/>
      </w:tblGrid>
      <w:tr>
        <w:tblPrEx>
          <w:tblCellMar>
            <w:top w:w="0" w:type="dxa"/>
            <w:left w:w="108" w:type="dxa"/>
            <w:bottom w:w="0" w:type="dxa"/>
            <w:right w:w="108" w:type="dxa"/>
          </w:tblCellMar>
        </w:tblPrEx>
        <w:trPr>
          <w:trHeight w:val="20" w:hRule="atLeast"/>
        </w:trPr>
        <w:tc>
          <w:tcPr>
            <w:tcW w:w="3442"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型号</w:t>
            </w:r>
          </w:p>
        </w:tc>
        <w:tc>
          <w:tcPr>
            <w:tcW w:w="4987" w:type="dxa"/>
            <w:tcBorders>
              <w:top w:val="single" w:color="auto" w:sz="4" w:space="0"/>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类型*</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最大平台高度*</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最大工作高度</w:t>
            </w:r>
            <w:r>
              <w:rPr>
                <w:rFonts w:cs="Calibri"/>
              </w:rPr>
              <w:t>*</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最大水平延伸*</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长度-收起状态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宽度-收起状态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高度-收起状态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轴距</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离地间隙</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平台尺寸（长×宽×高）</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性能</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额定承载*</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r>
              <w:rPr>
                <w:rFonts w:hint="eastAsia" w:cs="Calibri"/>
              </w:rPr>
              <w:br w:type="textWrapping"/>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转台回转*</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平台回转*</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行驶速度-收起状态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行驶速度-举升状态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爬坡能力</w:t>
            </w:r>
            <w:r>
              <w:rPr>
                <w:rFonts w:cs="Calibri"/>
              </w:rPr>
              <w:t>**</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内转向半径</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外转向半径</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转台尾扫</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工作时允许倾角*</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正常作业时的最大噪音</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驱动×转向*</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轮胎规格（类型）*</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动力</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动力源</w:t>
            </w:r>
          </w:p>
        </w:tc>
        <w:tc>
          <w:tcPr>
            <w:tcW w:w="4987" w:type="dxa"/>
            <w:tcBorders>
              <w:top w:val="nil"/>
              <w:left w:val="nil"/>
              <w:bottom w:val="single" w:color="auto" w:sz="4" w:space="0"/>
              <w:right w:val="single" w:color="auto" w:sz="4" w:space="0"/>
            </w:tcBorders>
            <w:shd w:val="clear" w:color="auto" w:fill="auto"/>
            <w:vAlign w:val="center"/>
          </w:tcPr>
          <w:p>
            <w:r>
              <w:rPr>
                <w:rFonts w:cs="Calibri"/>
              </w:rPr>
              <w:br w:type="textWrapping"/>
            </w: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控制电压</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燃油箱容积-柴油</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液压油箱容积</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其他</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r>
              <w:rPr>
                <w:rFonts w:cs="Calibri"/>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液压系统压力</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IP等级</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最大允许风速</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最大允许侧向力</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bl>
    <w:p/>
    <w:p>
      <w:pPr>
        <w:pStyle w:val="2"/>
        <w:sectPr>
          <w:pgSz w:w="11906" w:h="16838"/>
          <w:pgMar w:top="1418" w:right="1588" w:bottom="1418" w:left="1365" w:header="851" w:footer="907" w:gutter="0"/>
          <w:cols w:space="720" w:num="1"/>
          <w:titlePg/>
          <w:docGrid w:type="lines" w:linePitch="290" w:charSpace="0"/>
        </w:sectPr>
      </w:pPr>
    </w:p>
    <w:p>
      <w:pPr>
        <w:pStyle w:val="4"/>
        <w:spacing w:line="360" w:lineRule="auto"/>
        <w:jc w:val="center"/>
        <w:rPr>
          <w:rFonts w:asciiTheme="majorEastAsia" w:hAnsiTheme="majorEastAsia" w:eastAsiaTheme="majorEastAsia"/>
          <w:bCs/>
        </w:rPr>
      </w:pPr>
      <w:r>
        <w:rPr>
          <w:rFonts w:hint="eastAsia" w:asciiTheme="majorEastAsia" w:hAnsiTheme="majorEastAsia" w:eastAsiaTheme="majorEastAsia"/>
          <w:bCs/>
        </w:rPr>
        <w:t>第五章  评标方法</w:t>
      </w:r>
      <w:bookmarkStart w:id="274" w:name="_Toc393207967"/>
      <w:bookmarkStart w:id="275" w:name="_Toc392498221"/>
      <w:bookmarkStart w:id="276" w:name="_Toc358633669"/>
      <w:bookmarkStart w:id="277" w:name="_Toc358637059"/>
      <w:bookmarkStart w:id="278" w:name="_Toc396833722"/>
    </w:p>
    <w:bookmarkEnd w:id="274"/>
    <w:bookmarkEnd w:id="275"/>
    <w:bookmarkEnd w:id="276"/>
    <w:bookmarkEnd w:id="277"/>
    <w:bookmarkEnd w:id="278"/>
    <w:p>
      <w:pPr>
        <w:widowControl/>
        <w:tabs>
          <w:tab w:val="left" w:pos="0"/>
          <w:tab w:val="left" w:pos="993"/>
          <w:tab w:val="left" w:pos="1134"/>
        </w:tabs>
        <w:adjustRightInd w:val="0"/>
        <w:snapToGrid w:val="0"/>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一、评标方法:本次招标采用综合评分法。</w:t>
      </w:r>
    </w:p>
    <w:p>
      <w:pPr>
        <w:widowControl/>
        <w:tabs>
          <w:tab w:val="left" w:pos="0"/>
          <w:tab w:val="left" w:pos="993"/>
          <w:tab w:val="left" w:pos="1134"/>
        </w:tabs>
        <w:adjustRightInd w:val="0"/>
        <w:snapToGrid w:val="0"/>
        <w:spacing w:line="360" w:lineRule="auto"/>
        <w:ind w:firstLine="360" w:firstLineChars="150"/>
        <w:rPr>
          <w:rFonts w:cs="Courier New" w:asciiTheme="majorEastAsia" w:hAnsiTheme="majorEastAsia" w:eastAsiaTheme="majorEastAsia"/>
          <w:sz w:val="24"/>
          <w:szCs w:val="24"/>
        </w:rPr>
      </w:pPr>
      <w:r>
        <w:rPr>
          <w:rFonts w:hint="eastAsia" w:cs="仿宋_GB2312" w:asciiTheme="majorEastAsia" w:hAnsiTheme="majorEastAsia" w:eastAsiaTheme="majorEastAsia"/>
          <w:bCs/>
          <w:sz w:val="24"/>
          <w:szCs w:val="24"/>
        </w:rPr>
        <w:t>（一）评标程序及评标标准</w:t>
      </w:r>
    </w:p>
    <w:p>
      <w:pPr>
        <w:widowControl/>
        <w:tabs>
          <w:tab w:val="left" w:pos="0"/>
          <w:tab w:val="left" w:pos="993"/>
          <w:tab w:val="left" w:pos="1134"/>
        </w:tabs>
        <w:adjustRightInd w:val="0"/>
        <w:snapToGrid w:val="0"/>
        <w:spacing w:line="360" w:lineRule="auto"/>
        <w:ind w:firstLine="480" w:firstLineChars="200"/>
        <w:rPr>
          <w:rFonts w:cs="Courier New" w:asciiTheme="majorEastAsia" w:hAnsiTheme="majorEastAsia" w:eastAsiaTheme="majorEastAsia"/>
          <w:sz w:val="24"/>
          <w:szCs w:val="24"/>
        </w:rPr>
      </w:pPr>
      <w:r>
        <w:rPr>
          <w:rFonts w:hint="eastAsia" w:cs="仿宋_GB2312" w:asciiTheme="majorEastAsia" w:hAnsiTheme="majorEastAsia" w:eastAsiaTheme="majorEastAsia"/>
          <w:bCs/>
          <w:sz w:val="24"/>
          <w:szCs w:val="24"/>
        </w:rPr>
        <w:t>1资格性审查评审--2综合标评审--3确定中标候选人。</w:t>
      </w:r>
    </w:p>
    <w:p>
      <w:pPr>
        <w:spacing w:line="360" w:lineRule="auto"/>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　 （二）资格审查程序及评审内容</w:t>
      </w:r>
    </w:p>
    <w:p>
      <w:pPr>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⑴、投标人全部进入资格审查，由本采购项目评标委员会根据参加资格审查的投标人递交的资格证明文件，并按照本采购项目招标文件《资格审查标准》对投标人的资格进行审查。</w:t>
      </w:r>
    </w:p>
    <w:p>
      <w:pPr>
        <w:widowControl/>
        <w:tabs>
          <w:tab w:val="left" w:pos="0"/>
          <w:tab w:val="left" w:pos="993"/>
          <w:tab w:val="left" w:pos="1134"/>
        </w:tabs>
        <w:adjustRightInd w:val="0"/>
        <w:snapToGrid w:val="0"/>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⑵、本次资格审查采用符合性审查，各投标人资格审查通过后方能进入综合标评审。</w:t>
      </w:r>
    </w:p>
    <w:p>
      <w:pPr>
        <w:widowControl/>
        <w:tabs>
          <w:tab w:val="left" w:pos="0"/>
          <w:tab w:val="left" w:pos="993"/>
          <w:tab w:val="left" w:pos="1134"/>
        </w:tabs>
        <w:adjustRightInd w:val="0"/>
        <w:snapToGrid w:val="0"/>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⑶、资格性审查必要合格条件标准如下：</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法定代表人身份证明书及法定代表人身份证扫描件；</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法定代表人授权委托书及授权委托人身份证扫描件；</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企业法人营业执照扫描件；</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关于资格的声明函；</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履行合同所必需的设备和专业技术能力承诺函；</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参加政府采购活动前3年内在经营活动中没有重大违法记录和失信记录的书面声明；</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具有良好的商业信誉和健全的财务会计制度证明材料（提供2020年度由会计师事务所出具的财务审计报告或2021年任意一个月财务报表或提供响应人基本开户银行出具银行资信证明扫描件）；</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有依法缴纳税收和社会保障资金的良好记录：投标人依法缴纳近一年内任意一个月税收的相关凭证的扫描件，及投标人依法缴纳近一年内任意一个月社会保险的相关凭证（社会保险的凭据（专用收据或社会保险缴纳清单）），依法免税或不需要缴纳社会保障资金的投标人，应提供相应文件证明其依法免税或不需要缴纳社会保障资金；</w:t>
      </w:r>
    </w:p>
    <w:p>
      <w:pPr>
        <w:numPr>
          <w:ilvl w:val="0"/>
          <w:numId w:val="14"/>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 xml:space="preserve"> 供应商必须具备2019年至今不少于两份所投产品的业绩（代理商可以采用生产商的业绩）提供相应的采购合同证明文件。</w:t>
      </w:r>
    </w:p>
    <w:p>
      <w:pPr>
        <w:numPr>
          <w:ilvl w:val="0"/>
          <w:numId w:val="14"/>
        </w:numPr>
        <w:spacing w:line="360" w:lineRule="auto"/>
        <w:ind w:hanging="63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诚信承诺函。</w:t>
      </w:r>
    </w:p>
    <w:p>
      <w:pPr>
        <w:pStyle w:val="2"/>
        <w:ind w:firstLine="480" w:firstLineChars="200"/>
        <w:rPr>
          <w:rFonts w:eastAsiaTheme="majorEastAsia"/>
        </w:rPr>
      </w:pPr>
      <w:r>
        <w:rPr>
          <w:rFonts w:hint="eastAsia" w:asciiTheme="majorEastAsia" w:hAnsiTheme="majorEastAsia" w:eastAsiaTheme="majorEastAsia"/>
          <w:sz w:val="24"/>
          <w:szCs w:val="24"/>
        </w:rPr>
        <w:t>11）</w:t>
      </w:r>
      <w:r>
        <w:rPr>
          <w:rFonts w:hint="eastAsia" w:asciiTheme="majorEastAsia" w:hAnsiTheme="majorEastAsia" w:eastAsiaTheme="majorEastAsia"/>
          <w:sz w:val="24"/>
          <w:szCs w:val="24"/>
          <w:u w:val="single"/>
        </w:rPr>
        <w:t>投标保证金回执。</w:t>
      </w:r>
    </w:p>
    <w:p>
      <w:pPr>
        <w:spacing w:line="360" w:lineRule="auto"/>
        <w:ind w:firstLine="360" w:firstLineChars="150"/>
        <w:rPr>
          <w:rFonts w:asciiTheme="majorEastAsia" w:hAnsiTheme="majorEastAsia" w:eastAsiaTheme="majorEastAsia"/>
          <w:sz w:val="24"/>
          <w:szCs w:val="24"/>
        </w:rPr>
      </w:pPr>
      <w:r>
        <w:rPr>
          <w:rFonts w:hint="eastAsia" w:asciiTheme="majorEastAsia" w:hAnsiTheme="majorEastAsia" w:eastAsiaTheme="majorEastAsia"/>
          <w:sz w:val="24"/>
          <w:szCs w:val="24"/>
        </w:rPr>
        <w:t>注：上述（1）-（11）中任何一条不符合要求，则资格性审查不通过,按无效投标文件处理。</w:t>
      </w:r>
    </w:p>
    <w:p>
      <w:pPr>
        <w:widowControl/>
        <w:tabs>
          <w:tab w:val="left" w:pos="0"/>
          <w:tab w:val="left" w:pos="993"/>
          <w:tab w:val="left" w:pos="1134"/>
        </w:tabs>
        <w:adjustRightInd w:val="0"/>
        <w:snapToGrid w:val="0"/>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⑷、综合标评审标准综合因素评价：按照《综合标评分细则》评定，共100分。</w:t>
      </w:r>
    </w:p>
    <w:p>
      <w:pPr>
        <w:tabs>
          <w:tab w:val="left" w:pos="0"/>
          <w:tab w:val="left" w:pos="993"/>
          <w:tab w:val="left" w:pos="1135"/>
        </w:tabs>
        <w:adjustRightInd w:val="0"/>
        <w:snapToGrid w:val="0"/>
        <w:spacing w:line="400" w:lineRule="exact"/>
        <w:rPr>
          <w:rFonts w:ascii="宋体" w:hAnsi="宋体" w:cs="宋体"/>
          <w:i/>
          <w:color w:val="FF0000"/>
        </w:rPr>
      </w:pPr>
      <w:r>
        <w:rPr>
          <w:rFonts w:hint="eastAsia" w:ascii="宋体" w:hAnsi="宋体" w:cs="宋体"/>
          <w:b/>
          <w:highlight w:val="yellow"/>
        </w:rPr>
        <w:t>综合标评标</w:t>
      </w:r>
      <w:r>
        <w:rPr>
          <w:rFonts w:hint="eastAsia" w:ascii="宋体" w:hAnsi="宋体" w:cs="宋体"/>
          <w:b/>
        </w:rPr>
        <w:t>（100分）</w:t>
      </w:r>
    </w:p>
    <w:tbl>
      <w:tblPr>
        <w:tblStyle w:val="5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1467"/>
        <w:gridCol w:w="1107"/>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序号</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评审因素</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分值</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1</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shd w:val="clear" w:color="auto" w:fill="FFFFFF"/>
              </w:rPr>
              <w:t>货期</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3分</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承诺供货期30日内交付的，得基本分1.8分，</w:t>
            </w:r>
            <w:r>
              <w:rPr>
                <w:rFonts w:hint="eastAsia" w:cs="宋体"/>
                <w:szCs w:val="24"/>
              </w:rPr>
              <w:t>每提前三天加</w:t>
            </w:r>
            <w:r>
              <w:rPr>
                <w:szCs w:val="24"/>
              </w:rPr>
              <w:t>0.</w:t>
            </w:r>
            <w:r>
              <w:rPr>
                <w:rFonts w:hint="eastAsia"/>
                <w:szCs w:val="24"/>
              </w:rPr>
              <w:t>3</w:t>
            </w:r>
            <w:r>
              <w:rPr>
                <w:rFonts w:hint="eastAsia" w:cs="宋体"/>
                <w:szCs w:val="24"/>
              </w:rPr>
              <w:t>分，最多加</w:t>
            </w:r>
            <w:r>
              <w:rPr>
                <w:rFonts w:hint="eastAsia"/>
                <w:szCs w:val="24"/>
              </w:rPr>
              <w:t>1.2</w:t>
            </w:r>
            <w:r>
              <w:rPr>
                <w:rFonts w:hint="eastAsia" w:cs="宋体"/>
                <w:szCs w:val="24"/>
              </w:rPr>
              <w:t>分，满分</w:t>
            </w:r>
            <w:r>
              <w:rPr>
                <w:rFonts w:hint="eastAsia"/>
                <w:szCs w:val="24"/>
              </w:rPr>
              <w:t>3</w:t>
            </w:r>
            <w:r>
              <w:rPr>
                <w:rFonts w:hint="eastAsia" w:cs="宋体"/>
                <w:szCs w:val="24"/>
              </w:rPr>
              <w:t>分</w:t>
            </w:r>
            <w:r>
              <w:rPr>
                <w:rFonts w:hint="eastAsia" w:ascii="宋体" w:hAnsi="宋体" w:cs="宋体"/>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2</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shd w:val="clear" w:color="auto" w:fill="FFFFFF"/>
              </w:rPr>
            </w:pPr>
            <w:r>
              <w:rPr>
                <w:rFonts w:hint="eastAsia" w:ascii="宋体" w:hAnsi="宋体" w:cs="宋体"/>
                <w:shd w:val="clear" w:color="auto" w:fill="FFFFFF"/>
              </w:rPr>
              <w:t>业绩</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10分</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满足两份业绩的得基本分6分，提供同类产品的销售业绩台数最高的为第一名加4分，第二名加2分，第三名加1分，第四名及以后不加分；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3</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shd w:val="clear" w:color="auto" w:fill="FFFFFF"/>
              </w:rPr>
              <w:t>技术性能</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12分</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满足招标文件要求的得基础分7.2分，优于招标文件技术参数和配置要求的加0分-4.8分；低于招标文件要求的酌情扣分；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4</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shd w:val="clear" w:color="auto" w:fill="FFFFFF"/>
              </w:rPr>
              <w:t>质保期</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5分</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承诺质保期限达到2年的得基本分3分，在此基础上，每增加半年加0.5分，最多加2分；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7"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5</w:t>
            </w:r>
          </w:p>
        </w:tc>
        <w:tc>
          <w:tcPr>
            <w:tcW w:w="8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shd w:val="clear" w:color="auto" w:fill="FFFFFF"/>
              </w:rPr>
            </w:pPr>
            <w:r>
              <w:rPr>
                <w:rFonts w:hint="eastAsia" w:ascii="宋体" w:hAnsi="宋体" w:cs="宋体"/>
                <w:shd w:val="clear" w:color="auto" w:fill="FFFFFF"/>
              </w:rPr>
              <w:t>报价</w:t>
            </w:r>
          </w:p>
        </w:tc>
        <w:tc>
          <w:tcPr>
            <w:tcW w:w="604"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70分</w:t>
            </w:r>
          </w:p>
        </w:tc>
        <w:tc>
          <w:tcPr>
            <w:tcW w:w="32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ascii="宋体" w:hAnsi="宋体" w:cs="宋体"/>
                <w:b/>
                <w:shd w:val="clear" w:color="auto" w:fill="FFFFFF"/>
              </w:rPr>
            </w:pPr>
            <w:r>
              <w:rPr>
                <w:rFonts w:hint="eastAsia" w:ascii="宋体" w:hAnsi="宋体" w:cs="宋体"/>
                <w:shd w:val="clear" w:color="auto" w:fill="FFFFFF"/>
              </w:rPr>
              <w:t>1、确定有效报价：</w:t>
            </w:r>
            <w:r>
              <w:rPr>
                <w:rFonts w:hint="eastAsia" w:ascii="宋体" w:hAnsi="宋体" w:cs="宋体"/>
                <w:b/>
                <w:shd w:val="clear" w:color="auto" w:fill="FFFFFF"/>
              </w:rPr>
              <w:t>有效报价是指低于招标控制价的投标人投标总价。投标总价高于招标控制价的视为无效报价。</w:t>
            </w:r>
          </w:p>
          <w:p>
            <w:pPr>
              <w:widowControl/>
              <w:spacing w:line="400" w:lineRule="exact"/>
              <w:rPr>
                <w:rFonts w:ascii="宋体" w:hAnsi="宋体" w:cs="宋体"/>
                <w:highlight w:val="yellow"/>
                <w:shd w:val="clear" w:color="auto" w:fill="FFFFFF"/>
              </w:rPr>
            </w:pPr>
            <w:r>
              <w:rPr>
                <w:rFonts w:hint="eastAsia" w:ascii="宋体" w:hAnsi="宋体" w:cs="宋体"/>
                <w:shd w:val="clear" w:color="auto" w:fill="FFFFFF"/>
              </w:rPr>
              <w:t>2、</w:t>
            </w:r>
            <w:r>
              <w:rPr>
                <w:rFonts w:hint="eastAsia" w:ascii="宋体" w:hAnsi="宋体" w:cs="宋体"/>
                <w:highlight w:val="yellow"/>
                <w:shd w:val="clear" w:color="auto" w:fill="FFFFFF"/>
              </w:rPr>
              <w:t>确定评标基准价：有效报价&lt;7家时，所有有效报价取算术平均值为评标基准价；有效投标报价</w:t>
            </w:r>
            <w:r>
              <w:rPr>
                <w:rFonts w:hint="eastAsia" w:ascii="微软雅黑" w:hAnsi="微软雅黑" w:eastAsia="微软雅黑" w:cs="微软雅黑"/>
                <w:highlight w:val="yellow"/>
                <w:shd w:val="clear" w:color="auto" w:fill="FFFFFF"/>
              </w:rPr>
              <w:t>≥</w:t>
            </w:r>
            <w:r>
              <w:rPr>
                <w:rFonts w:hint="eastAsia" w:ascii="宋体" w:hAnsi="宋体" w:cs="宋体"/>
                <w:highlight w:val="yellow"/>
                <w:shd w:val="clear" w:color="auto" w:fill="FFFFFF"/>
              </w:rPr>
              <w:t>7家时去掉一个最高价和一个最低价后算术平均价为评标基准价；</w:t>
            </w:r>
          </w:p>
          <w:p>
            <w:pPr>
              <w:widowControl/>
              <w:spacing w:line="400" w:lineRule="exact"/>
              <w:rPr>
                <w:rFonts w:ascii="宋体" w:hAnsi="宋体" w:cs="宋体"/>
                <w:highlight w:val="yellow"/>
                <w:shd w:val="clear" w:color="auto" w:fill="FFFFFF"/>
              </w:rPr>
            </w:pPr>
            <w:r>
              <w:rPr>
                <w:rFonts w:hint="eastAsia" w:ascii="宋体" w:hAnsi="宋体" w:cs="宋体"/>
                <w:highlight w:val="yellow"/>
                <w:shd w:val="clear" w:color="auto" w:fill="FFFFFF"/>
              </w:rPr>
              <w:t>3、偏差率=（投标人报价-评标基准价）/评标基准价*100%</w:t>
            </w:r>
          </w:p>
          <w:p>
            <w:pPr>
              <w:widowControl/>
              <w:spacing w:line="400" w:lineRule="exact"/>
              <w:rPr>
                <w:rFonts w:ascii="宋体" w:hAnsi="宋体" w:cs="宋体"/>
                <w:b/>
              </w:rPr>
            </w:pPr>
            <w:r>
              <w:rPr>
                <w:rFonts w:hint="eastAsia" w:ascii="宋体" w:hAnsi="宋体" w:cs="宋体"/>
                <w:highlight w:val="yellow"/>
                <w:shd w:val="clear" w:color="auto" w:fill="FFFFFF"/>
              </w:rPr>
              <w:t>4、</w:t>
            </w:r>
            <w:r>
              <w:rPr>
                <w:rFonts w:hint="eastAsia" w:ascii="宋体" w:hAnsi="宋体" w:cs="宋体"/>
                <w:highlight w:val="yellow"/>
                <w:shd w:val="clear" w:color="auto" w:fill="FFFFFF"/>
                <w:lang w:val="zh-CN"/>
              </w:rPr>
              <w:t>投标报价与评标基准价相同时得</w:t>
            </w:r>
            <w:r>
              <w:rPr>
                <w:rFonts w:hint="eastAsia" w:ascii="宋体" w:hAnsi="宋体" w:cs="宋体"/>
                <w:highlight w:val="yellow"/>
                <w:shd w:val="clear" w:color="auto" w:fill="FFFFFF"/>
              </w:rPr>
              <w:t>70</w:t>
            </w:r>
            <w:r>
              <w:rPr>
                <w:rFonts w:hint="eastAsia" w:ascii="宋体" w:hAnsi="宋体" w:cs="宋体"/>
                <w:highlight w:val="yellow"/>
                <w:shd w:val="clear" w:color="auto" w:fill="FFFFFF"/>
                <w:lang w:val="zh-CN"/>
              </w:rPr>
              <w:t>分</w:t>
            </w:r>
            <w:r>
              <w:rPr>
                <w:rFonts w:hint="eastAsia" w:ascii="宋体" w:hAnsi="宋体" w:cs="宋体"/>
                <w:highlight w:val="yellow"/>
                <w:shd w:val="clear" w:color="auto" w:fill="FFFFFF"/>
              </w:rPr>
              <w:t>满分</w:t>
            </w:r>
            <w:r>
              <w:rPr>
                <w:rFonts w:hint="eastAsia" w:ascii="宋体" w:hAnsi="宋体" w:cs="宋体"/>
                <w:highlight w:val="yellow"/>
                <w:shd w:val="clear" w:color="auto" w:fill="FFFFFF"/>
                <w:lang w:val="zh-CN"/>
              </w:rPr>
              <w:t>，各投标人的投标报价与评标基准价相比较，每上浮1%扣0.</w:t>
            </w:r>
            <w:r>
              <w:rPr>
                <w:rFonts w:hint="eastAsia" w:ascii="宋体" w:hAnsi="宋体" w:cs="宋体"/>
                <w:highlight w:val="yellow"/>
                <w:shd w:val="clear" w:color="auto" w:fill="FFFFFF"/>
              </w:rPr>
              <w:t>4</w:t>
            </w:r>
            <w:r>
              <w:rPr>
                <w:rFonts w:hint="eastAsia" w:ascii="宋体" w:hAnsi="宋体" w:cs="宋体"/>
                <w:highlight w:val="yellow"/>
                <w:shd w:val="clear" w:color="auto" w:fill="FFFFFF"/>
                <w:lang w:val="zh-CN"/>
              </w:rPr>
              <w:t>分，下浮1%扣0.</w:t>
            </w:r>
            <w:r>
              <w:rPr>
                <w:rFonts w:hint="eastAsia" w:ascii="宋体" w:hAnsi="宋体" w:cs="宋体"/>
                <w:highlight w:val="yellow"/>
                <w:shd w:val="clear" w:color="auto" w:fill="FFFFFF"/>
              </w:rPr>
              <w:t>2</w:t>
            </w:r>
            <w:r>
              <w:rPr>
                <w:rFonts w:hint="eastAsia" w:ascii="宋体" w:hAnsi="宋体" w:cs="宋体"/>
                <w:highlight w:val="yellow"/>
                <w:shd w:val="clear" w:color="auto" w:fill="FFFFFF"/>
                <w:lang w:val="zh-CN"/>
              </w:rPr>
              <w:t>分，偏离评标基准价不足1%的按照内插法计算得分（精确到小数点后两位，四舍五入）</w:t>
            </w:r>
            <w:r>
              <w:rPr>
                <w:rFonts w:hint="eastAsia" w:cs="宋体"/>
                <w:kern w:val="0"/>
                <w:sz w:val="18"/>
                <w:szCs w:val="18"/>
                <w:highlight w:val="yellow"/>
                <w:lang w:val="zh-CN"/>
              </w:rPr>
              <w:t>。</w:t>
            </w:r>
          </w:p>
        </w:tc>
      </w:tr>
    </w:tbl>
    <w:p>
      <w:pPr>
        <w:snapToGrid w:val="0"/>
        <w:spacing w:line="600" w:lineRule="exact"/>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注：投标人总得分=综合标得分汇总。</w:t>
      </w:r>
    </w:p>
    <w:p>
      <w:pPr>
        <w:widowControl/>
        <w:spacing w:line="440" w:lineRule="exact"/>
        <w:rPr>
          <w:rFonts w:asciiTheme="majorEastAsia" w:hAnsiTheme="majorEastAsia" w:eastAsiaTheme="majorEastAsia"/>
          <w:bCs/>
          <w:sz w:val="24"/>
        </w:rPr>
      </w:pPr>
    </w:p>
    <w:p>
      <w:pPr>
        <w:numPr>
          <w:ilvl w:val="0"/>
          <w:numId w:val="15"/>
        </w:numPr>
        <w:spacing w:line="400" w:lineRule="exact"/>
        <w:ind w:firstLine="480" w:firstLineChars="200"/>
        <w:rPr>
          <w:rFonts w:cs="仿宋_GB2312" w:asciiTheme="majorEastAsia" w:hAnsiTheme="majorEastAsia" w:eastAsiaTheme="majorEastAsia"/>
          <w:bCs/>
          <w:sz w:val="24"/>
        </w:rPr>
      </w:pPr>
      <w:r>
        <w:rPr>
          <w:rFonts w:hint="eastAsia" w:cs="仿宋_GB2312" w:asciiTheme="majorEastAsia" w:hAnsiTheme="majorEastAsia" w:eastAsiaTheme="majorEastAsia"/>
          <w:bCs/>
          <w:sz w:val="24"/>
        </w:rPr>
        <w:t>定标：评标委员会按照各投标人的总得分由高到低进行排名，推荐总得分最高者（排名第一）为第一中标候选人，总得分排名第二、第三的单位为第二、第三中标候选人；若总得分相同且影响推荐时，则按下列办法确定：</w:t>
      </w:r>
    </w:p>
    <w:p>
      <w:pPr>
        <w:spacing w:line="400" w:lineRule="exact"/>
        <w:ind w:firstLine="480" w:firstLineChars="200"/>
        <w:rPr>
          <w:rFonts w:cs="仿宋_GB2312" w:asciiTheme="majorEastAsia" w:hAnsiTheme="majorEastAsia" w:eastAsiaTheme="majorEastAsia"/>
          <w:bCs/>
          <w:sz w:val="24"/>
        </w:rPr>
      </w:pPr>
      <w:r>
        <w:rPr>
          <w:rFonts w:hint="eastAsia" w:cs="仿宋_GB2312" w:asciiTheme="majorEastAsia" w:hAnsiTheme="majorEastAsia" w:eastAsiaTheme="majorEastAsia"/>
          <w:bCs/>
          <w:sz w:val="24"/>
        </w:rPr>
        <w:t>1、投标报价较低者排名在前；</w:t>
      </w:r>
    </w:p>
    <w:p>
      <w:pPr>
        <w:spacing w:line="400" w:lineRule="exact"/>
        <w:ind w:firstLine="480" w:firstLineChars="200"/>
        <w:rPr>
          <w:rFonts w:ascii="宋体" w:hAnsi="宋体" w:cs="宋体"/>
          <w:shd w:val="clear" w:color="auto" w:fill="FFFFFF"/>
        </w:rPr>
      </w:pPr>
      <w:r>
        <w:rPr>
          <w:rFonts w:hint="eastAsia" w:cs="仿宋_GB2312" w:asciiTheme="majorEastAsia" w:hAnsiTheme="majorEastAsia" w:eastAsiaTheme="majorEastAsia"/>
          <w:bCs/>
          <w:sz w:val="24"/>
        </w:rPr>
        <w:t>2、若投标报价也相同，则采取现场抽签的方式确定。</w:t>
      </w:r>
    </w:p>
    <w:p>
      <w:pPr>
        <w:spacing w:line="360" w:lineRule="auto"/>
        <w:ind w:firstLine="480" w:firstLineChars="200"/>
        <w:rPr>
          <w:rFonts w:cs="仿宋_GB2312" w:asciiTheme="majorEastAsia" w:hAnsiTheme="majorEastAsia" w:eastAsiaTheme="majorEastAsia"/>
          <w:bCs/>
          <w:sz w:val="24"/>
        </w:rPr>
      </w:pPr>
    </w:p>
    <w:p>
      <w:pPr>
        <w:spacing w:line="360" w:lineRule="auto"/>
        <w:ind w:firstLine="420" w:firstLineChars="200"/>
        <w:rPr>
          <w:rFonts w:asciiTheme="majorEastAsia" w:hAnsiTheme="majorEastAsia" w:eastAsiaTheme="majorEastAsia"/>
          <w:b/>
          <w:bCs/>
          <w:sz w:val="24"/>
          <w:u w:val="single"/>
        </w:rPr>
      </w:pPr>
      <w:r>
        <w:rPr>
          <w:rFonts w:asciiTheme="majorEastAsia" w:hAnsiTheme="majorEastAsia" w:eastAsiaTheme="majorEastAsia"/>
        </w:rPr>
        <w:br w:type="page"/>
      </w:r>
    </w:p>
    <w:p>
      <w:pPr>
        <w:spacing w:line="360" w:lineRule="auto"/>
        <w:ind w:firstLine="883" w:firstLineChars="2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第六章  投标</w:t>
      </w:r>
      <w:bookmarkEnd w:id="190"/>
      <w:bookmarkEnd w:id="191"/>
      <w:bookmarkEnd w:id="192"/>
      <w:r>
        <w:rPr>
          <w:rFonts w:hint="eastAsia" w:asciiTheme="majorEastAsia" w:hAnsiTheme="majorEastAsia" w:eastAsiaTheme="majorEastAsia"/>
          <w:b/>
          <w:sz w:val="44"/>
          <w:szCs w:val="44"/>
        </w:rPr>
        <w:t>文件格式</w:t>
      </w:r>
    </w:p>
    <w:p>
      <w:pPr>
        <w:jc w:val="center"/>
        <w:rPr>
          <w:rFonts w:asciiTheme="majorEastAsia" w:hAnsiTheme="majorEastAsia" w:eastAsiaTheme="majorEastAsia"/>
          <w:bCs/>
          <w:kern w:val="0"/>
          <w:sz w:val="44"/>
          <w:szCs w:val="24"/>
        </w:rPr>
      </w:pPr>
      <w:bookmarkStart w:id="279" w:name="_Hlt26955039"/>
      <w:bookmarkEnd w:id="279"/>
      <w:bookmarkStart w:id="280" w:name="_Hlt26671244"/>
      <w:bookmarkEnd w:id="280"/>
      <w:bookmarkStart w:id="281" w:name="_Toc120614284"/>
    </w:p>
    <w:p>
      <w:pPr>
        <w:jc w:val="center"/>
        <w:rPr>
          <w:rFonts w:asciiTheme="majorEastAsia" w:hAnsiTheme="majorEastAsia" w:eastAsiaTheme="majorEastAsia"/>
          <w:bCs/>
          <w:kern w:val="0"/>
          <w:sz w:val="36"/>
          <w:szCs w:val="36"/>
        </w:rPr>
      </w:pPr>
      <w:r>
        <w:rPr>
          <w:rFonts w:hint="eastAsia" w:asciiTheme="majorEastAsia" w:hAnsiTheme="majorEastAsia" w:eastAsiaTheme="majorEastAsia"/>
          <w:bCs/>
          <w:kern w:val="0"/>
          <w:sz w:val="36"/>
          <w:szCs w:val="36"/>
        </w:rPr>
        <w:t>法定代表人资格证明书</w:t>
      </w:r>
    </w:p>
    <w:p>
      <w:pPr>
        <w:jc w:val="center"/>
        <w:rPr>
          <w:rFonts w:asciiTheme="majorEastAsia" w:hAnsiTheme="majorEastAsia" w:eastAsiaTheme="majorEastAsia"/>
          <w:bCs/>
          <w:kern w:val="0"/>
          <w:sz w:val="44"/>
          <w:szCs w:val="24"/>
        </w:rPr>
      </w:pPr>
    </w:p>
    <w:p>
      <w:pPr>
        <w:ind w:firstLine="560" w:firstLineChars="200"/>
        <w:rPr>
          <w:rFonts w:asciiTheme="majorEastAsia" w:hAnsiTheme="majorEastAsia" w:eastAsiaTheme="majorEastAsia"/>
          <w:kern w:val="0"/>
          <w:sz w:val="28"/>
          <w:szCs w:val="28"/>
        </w:rPr>
      </w:pPr>
    </w:p>
    <w:p>
      <w:pPr>
        <w:ind w:firstLine="480" w:firstLineChars="20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u w:val="single"/>
        </w:rPr>
        <w:t>（法定代表人姓名）</w:t>
      </w:r>
      <w:r>
        <w:rPr>
          <w:rFonts w:hint="eastAsia" w:asciiTheme="majorEastAsia" w:hAnsiTheme="majorEastAsia" w:eastAsiaTheme="majorEastAsia"/>
          <w:kern w:val="0"/>
          <w:sz w:val="24"/>
          <w:szCs w:val="24"/>
        </w:rPr>
        <w:t>系</w:t>
      </w:r>
      <w:r>
        <w:rPr>
          <w:rFonts w:hint="eastAsia" w:asciiTheme="majorEastAsia" w:hAnsiTheme="majorEastAsia" w:eastAsiaTheme="majorEastAsia"/>
          <w:kern w:val="0"/>
          <w:sz w:val="24"/>
          <w:szCs w:val="24"/>
          <w:u w:val="single"/>
        </w:rPr>
        <w:t>（投标人全称）</w:t>
      </w:r>
      <w:r>
        <w:rPr>
          <w:rFonts w:hint="eastAsia" w:asciiTheme="majorEastAsia" w:hAnsiTheme="majorEastAsia" w:eastAsiaTheme="majorEastAsia"/>
          <w:kern w:val="0"/>
          <w:sz w:val="24"/>
          <w:szCs w:val="24"/>
        </w:rPr>
        <w:t>的法定代表人。</w:t>
      </w:r>
    </w:p>
    <w:p>
      <w:pPr>
        <w:ind w:firstLine="480" w:firstLineChars="200"/>
        <w:rPr>
          <w:rFonts w:asciiTheme="majorEastAsia" w:hAnsiTheme="majorEastAsia" w:eastAsiaTheme="majorEastAsia"/>
          <w:kern w:val="0"/>
          <w:sz w:val="24"/>
          <w:szCs w:val="24"/>
        </w:rPr>
      </w:pPr>
    </w:p>
    <w:p>
      <w:pPr>
        <w:ind w:firstLine="480" w:firstLineChars="20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特此证明</w:t>
      </w:r>
    </w:p>
    <w:p>
      <w:pPr>
        <w:rPr>
          <w:rFonts w:asciiTheme="majorEastAsia" w:hAnsiTheme="majorEastAsia" w:eastAsiaTheme="majorEastAsia"/>
          <w:kern w:val="0"/>
          <w:sz w:val="24"/>
          <w:szCs w:val="24"/>
        </w:rPr>
      </w:pPr>
      <w:r>
        <w:rPr>
          <w:rFonts w:asciiTheme="majorEastAsia" w:hAnsiTheme="majorEastAsia" w:eastAsiaTheme="majorEastAsia"/>
        </w:rPr>
        <w:pict>
          <v:shape id="Text Box 23" o:spid="_x0000_s1030" o:spt="202" type="#_x0000_t202" style="position:absolute;left:0pt;margin-left:27.55pt;margin-top:5.65pt;height:88.65pt;width:176.45pt;z-index:251660288;v-text-anchor:middle;mso-width-relative:page;mso-height-relative:page;"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29StB1AAAAAkBAAAPAAAAAAAAAAEAIAAAACIA&#10;AABkcnMvZG93bnJldi54bWxQSwECFAAUAAAACACHTuJAV6Cwz0YCAACwBAAADgAAAAAAAAABACAA&#10;AAAjAQAAZHJzL2Uyb0RvYy54bWxQSwUGAAAAAAYABgBZAQAA2wU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w:r>
      <w:r>
        <w:rPr>
          <w:rFonts w:asciiTheme="majorEastAsia" w:hAnsiTheme="majorEastAsia" w:eastAsiaTheme="majorEastAsia"/>
        </w:rPr>
        <w:pict>
          <v:shape id="Text Box 4" o:spid="_x0000_s1029" o:spt="202" type="#_x0000_t202" style="position:absolute;left:0pt;margin-left:228pt;margin-top:5pt;height:88.65pt;width:176.45pt;z-index:251661312;v-text-anchor:middle;mso-width-relative:page;mso-height-relative:page;"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PeeyNYAAAAKAQAADwAAAAAAAAABACAAAAAi&#10;AAAAZHJzL2Rvd25yZXYueG1sUEsBAhQAFAAAAAgAh07iQNQ5UmVFAgAArwQAAA4AAAAAAAAAAQAg&#10;AAAAJQEAAGRycy9lMm9Eb2MueG1sUEsFBgAAAAAGAAYAWQEAANwFA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w: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ind w:firstLine="4200" w:firstLineChars="1750"/>
        <w:rPr>
          <w:rFonts w:asciiTheme="majorEastAsia" w:hAnsiTheme="majorEastAsia" w:eastAsiaTheme="majorEastAsia"/>
          <w:kern w:val="0"/>
          <w:sz w:val="24"/>
          <w:szCs w:val="24"/>
        </w:rPr>
      </w:pPr>
    </w:p>
    <w:p>
      <w:pPr>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投标人全称：（盖章）</w:t>
      </w:r>
    </w:p>
    <w:p>
      <w:pPr>
        <w:jc w:val="left"/>
        <w:rPr>
          <w:rFonts w:asciiTheme="majorEastAsia" w:hAnsiTheme="majorEastAsia" w:eastAsiaTheme="majorEastAsia"/>
          <w:kern w:val="0"/>
          <w:sz w:val="24"/>
          <w:szCs w:val="24"/>
        </w:rPr>
      </w:pPr>
    </w:p>
    <w:p>
      <w:pPr>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年月日</w:t>
      </w:r>
    </w:p>
    <w:p>
      <w:pPr>
        <w:ind w:firstLine="5980" w:firstLineChars="1869"/>
        <w:jc w:val="left"/>
        <w:rPr>
          <w:rFonts w:asciiTheme="majorEastAsia" w:hAnsiTheme="majorEastAsia" w:eastAsiaTheme="majorEastAsia"/>
          <w:kern w:val="0"/>
          <w:sz w:val="32"/>
          <w:szCs w:val="32"/>
        </w:rPr>
      </w:pPr>
    </w:p>
    <w:p>
      <w:pPr>
        <w:jc w:val="center"/>
        <w:rPr>
          <w:rFonts w:asciiTheme="majorEastAsia" w:hAnsiTheme="majorEastAsia" w:eastAsiaTheme="majorEastAsia"/>
          <w:bCs/>
          <w:kern w:val="0"/>
          <w:sz w:val="44"/>
          <w:szCs w:val="44"/>
        </w:rPr>
      </w:pPr>
      <w:r>
        <w:rPr>
          <w:rFonts w:asciiTheme="majorEastAsia" w:hAnsiTheme="majorEastAsia" w:eastAsiaTheme="majorEastAsia"/>
          <w:kern w:val="0"/>
          <w:szCs w:val="28"/>
        </w:rPr>
        <w:br w:type="page"/>
      </w:r>
    </w:p>
    <w:p>
      <w:pPr>
        <w:jc w:val="center"/>
        <w:rPr>
          <w:rFonts w:asciiTheme="majorEastAsia" w:hAnsiTheme="majorEastAsia" w:eastAsiaTheme="majorEastAsia"/>
          <w:bCs/>
          <w:kern w:val="0"/>
          <w:sz w:val="36"/>
          <w:szCs w:val="36"/>
        </w:rPr>
      </w:pPr>
      <w:r>
        <w:rPr>
          <w:rFonts w:hint="eastAsia" w:asciiTheme="majorEastAsia" w:hAnsiTheme="majorEastAsia" w:eastAsiaTheme="majorEastAsia"/>
          <w:bCs/>
          <w:kern w:val="0"/>
          <w:sz w:val="36"/>
          <w:szCs w:val="36"/>
        </w:rPr>
        <w:t>法定代表人授权书</w:t>
      </w:r>
    </w:p>
    <w:p>
      <w:pPr>
        <w:spacing w:line="560" w:lineRule="exact"/>
        <w:rPr>
          <w:rFonts w:asciiTheme="majorEastAsia" w:hAnsiTheme="majorEastAsia" w:eastAsiaTheme="majorEastAsia"/>
          <w:kern w:val="0"/>
          <w:sz w:val="28"/>
          <w:szCs w:val="28"/>
        </w:rPr>
      </w:pPr>
    </w:p>
    <w:p>
      <w:pPr>
        <w:spacing w:line="600" w:lineRule="exac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（采购机构名称）：</w:t>
      </w:r>
    </w:p>
    <w:p>
      <w:pPr>
        <w:spacing w:line="600" w:lineRule="exact"/>
        <w:ind w:firstLine="511" w:firstLineChars="21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u w:val="single"/>
        </w:rPr>
        <w:t>（投标人全称）</w:t>
      </w:r>
      <w:r>
        <w:rPr>
          <w:rFonts w:hint="eastAsia" w:asciiTheme="majorEastAsia" w:hAnsiTheme="majorEastAsia" w:eastAsiaTheme="majorEastAsia"/>
          <w:kern w:val="0"/>
          <w:sz w:val="24"/>
          <w:szCs w:val="24"/>
        </w:rPr>
        <w:t>法定代表人</w:t>
      </w:r>
      <w:r>
        <w:rPr>
          <w:rFonts w:hint="eastAsia" w:asciiTheme="majorEastAsia" w:hAnsiTheme="majorEastAsia" w:eastAsiaTheme="majorEastAsia"/>
          <w:kern w:val="0"/>
          <w:sz w:val="24"/>
          <w:szCs w:val="24"/>
          <w:u w:val="single"/>
        </w:rPr>
        <w:t>（姓名、职务）</w:t>
      </w:r>
      <w:r>
        <w:rPr>
          <w:rFonts w:hint="eastAsia" w:asciiTheme="majorEastAsia" w:hAnsiTheme="majorEastAsia" w:eastAsiaTheme="majorEastAsia"/>
          <w:kern w:val="0"/>
          <w:sz w:val="24"/>
          <w:szCs w:val="24"/>
        </w:rPr>
        <w:t>授权</w:t>
      </w:r>
      <w:r>
        <w:rPr>
          <w:rFonts w:hint="eastAsia" w:asciiTheme="majorEastAsia" w:hAnsiTheme="majorEastAsia" w:eastAsiaTheme="majorEastAsia"/>
          <w:kern w:val="0"/>
          <w:sz w:val="24"/>
          <w:szCs w:val="24"/>
          <w:u w:val="single"/>
        </w:rPr>
        <w:t>（授权代表姓名、职务）</w:t>
      </w:r>
      <w:r>
        <w:rPr>
          <w:rFonts w:hint="eastAsia" w:asciiTheme="majorEastAsia" w:hAnsiTheme="majorEastAsia" w:eastAsiaTheme="majorEastAsia"/>
          <w:kern w:val="0"/>
          <w:sz w:val="24"/>
          <w:szCs w:val="24"/>
        </w:rPr>
        <w:t>为全权代表，参加贵单位组织的</w:t>
      </w:r>
      <w:r>
        <w:rPr>
          <w:rFonts w:hint="eastAsia" w:asciiTheme="majorEastAsia" w:hAnsiTheme="majorEastAsia" w:eastAsiaTheme="majorEastAsia"/>
          <w:kern w:val="0"/>
          <w:sz w:val="24"/>
          <w:szCs w:val="24"/>
          <w:u w:val="single"/>
        </w:rPr>
        <w:t>（项目名称）</w:t>
      </w:r>
      <w:r>
        <w:rPr>
          <w:rFonts w:hint="eastAsia" w:asciiTheme="majorEastAsia" w:hAnsiTheme="majorEastAsia" w:eastAsiaTheme="majorEastAsia"/>
          <w:kern w:val="0"/>
          <w:sz w:val="24"/>
          <w:szCs w:val="24"/>
        </w:rPr>
        <w:t>采购活动，全权处理采购活动中的一切事宜。</w:t>
      </w:r>
    </w:p>
    <w:p>
      <w:pPr>
        <w:spacing w:line="560" w:lineRule="exact"/>
        <w:ind w:firstLine="600"/>
        <w:rPr>
          <w:rFonts w:asciiTheme="majorEastAsia" w:hAnsiTheme="majorEastAsia" w:eastAsiaTheme="majorEastAsia"/>
          <w:kern w:val="0"/>
          <w:sz w:val="24"/>
          <w:szCs w:val="24"/>
        </w:rPr>
      </w:pPr>
    </w:p>
    <w:p>
      <w:pPr>
        <w:spacing w:line="560" w:lineRule="exact"/>
        <w:ind w:left="-2" w:leftChars="-1" w:firstLine="3512"/>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投标人全称：（盖章）</w:t>
      </w:r>
    </w:p>
    <w:p>
      <w:pPr>
        <w:spacing w:line="560" w:lineRule="exact"/>
        <w:ind w:left="6360" w:leftChars="1413" w:hanging="3393"/>
        <w:rPr>
          <w:rFonts w:asciiTheme="majorEastAsia" w:hAnsiTheme="majorEastAsia" w:eastAsiaTheme="majorEastAsia"/>
          <w:kern w:val="0"/>
          <w:sz w:val="24"/>
          <w:szCs w:val="24"/>
        </w:rPr>
      </w:pPr>
    </w:p>
    <w:p>
      <w:pPr>
        <w:spacing w:line="560" w:lineRule="exact"/>
        <w:ind w:left="5875" w:leftChars="1471" w:hanging="2786" w:hangingChars="1161"/>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法定代表人：（签字或盖章）</w:t>
      </w:r>
    </w:p>
    <w:p>
      <w:pPr>
        <w:spacing w:line="560" w:lineRule="exact"/>
        <w:ind w:left="6360" w:leftChars="1413" w:hanging="339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年月日</w:t>
      </w:r>
    </w:p>
    <w:p>
      <w:pPr>
        <w:spacing w:line="560" w:lineRule="exac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附：</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授权代表姓名：</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职务：电话：</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传真：邮编：</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通讯地址：</w:t>
      </w:r>
    </w:p>
    <w:p>
      <w:pPr>
        <w:spacing w:line="560" w:lineRule="exact"/>
        <w:ind w:firstLine="573"/>
        <w:rPr>
          <w:rFonts w:asciiTheme="majorEastAsia" w:hAnsiTheme="majorEastAsia" w:eastAsiaTheme="majorEastAsia"/>
          <w:kern w:val="0"/>
          <w:sz w:val="24"/>
          <w:szCs w:val="24"/>
        </w:rPr>
      </w:pPr>
      <w:r>
        <w:rPr>
          <w:rFonts w:asciiTheme="majorEastAsia" w:hAnsiTheme="majorEastAsia" w:eastAsiaTheme="majorEastAsia"/>
        </w:rPr>
        <w:pict>
          <v:shape id="Text Box 6" o:spid="_x0000_s1028" o:spt="202" type="#_x0000_t202" style="position:absolute;left:0pt;margin-left:226.45pt;margin-top:9.4pt;height:88.65pt;width:176.45pt;z-index:251663360;v-text-anchor:middle;mso-width-relative:page;mso-height-relative:page;"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pjHct1QAAAAoBAAAPAAAAAAAAAAEAIAAAACIA&#10;AABkcnMvZG93bnJldi54bWxQSwECFAAUAAAACACHTuJAjrHJJkUCAACvBAAADgAAAAAAAAABACAA&#10;AAAkAQAAZHJzL2Uyb0RvYy54bWxQSwUGAAAAAAYABgBZAQAA2wU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w:r>
      <w:r>
        <w:rPr>
          <w:rFonts w:asciiTheme="majorEastAsia" w:hAnsiTheme="majorEastAsia" w:eastAsiaTheme="majorEastAsia"/>
        </w:rPr>
        <w:pict>
          <v:shape id="Text Box 5" o:spid="_x0000_s1027" o:spt="202" type="#_x0000_t202" style="position:absolute;left:0pt;margin-left:30.6pt;margin-top:9.25pt;height:88.65pt;width:176.45pt;z-index:251662336;v-text-anchor:middle;mso-width-relative:page;mso-height-relative:page;"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q2GFtUAAAAJAQAADwAAAAAAAAABACAAAAAi&#10;AAAAZHJzL2Rvd25yZXYueG1sUEsBAhQAFAAAAAgAh07iQFOPlx1GAgAArwQAAA4AAAAAAAAAAQAg&#10;AAAAJAEAAGRycy9lMm9Eb2MueG1sUEsFBgAAAAAGAAYAWQEAANwFA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w:r>
    </w:p>
    <w:p>
      <w:pPr>
        <w:spacing w:line="560" w:lineRule="exact"/>
        <w:ind w:firstLine="573"/>
        <w:rPr>
          <w:rFonts w:asciiTheme="majorEastAsia" w:hAnsiTheme="majorEastAsia" w:eastAsiaTheme="majorEastAsia"/>
          <w:kern w:val="0"/>
          <w:sz w:val="24"/>
          <w:szCs w:val="24"/>
        </w:rPr>
      </w:pPr>
    </w:p>
    <w:p>
      <w:pPr>
        <w:spacing w:line="560" w:lineRule="exact"/>
        <w:ind w:firstLine="573"/>
        <w:rPr>
          <w:rFonts w:asciiTheme="majorEastAsia" w:hAnsiTheme="majorEastAsia" w:eastAsiaTheme="majorEastAsia"/>
          <w:kern w:val="0"/>
          <w:sz w:val="24"/>
          <w:szCs w:val="24"/>
        </w:rPr>
      </w:pPr>
    </w:p>
    <w:p>
      <w:pPr>
        <w:spacing w:line="560" w:lineRule="exact"/>
        <w:ind w:firstLine="573"/>
        <w:rPr>
          <w:rFonts w:asciiTheme="majorEastAsia" w:hAnsiTheme="majorEastAsia" w:eastAsiaTheme="majorEastAsia"/>
          <w:kern w:val="0"/>
          <w:sz w:val="24"/>
          <w:szCs w:val="24"/>
        </w:rPr>
      </w:pPr>
    </w:p>
    <w:p>
      <w:pPr>
        <w:pStyle w:val="121"/>
        <w:widowControl/>
        <w:snapToGrid w:val="0"/>
        <w:spacing w:line="300" w:lineRule="auto"/>
        <w:ind w:firstLine="0" w:firstLineChars="0"/>
        <w:jc w:val="center"/>
        <w:rPr>
          <w:rFonts w:cs="宋体" w:asciiTheme="majorEastAsia" w:hAnsiTheme="majorEastAsia" w:eastAsiaTheme="majorEastAsia"/>
          <w:b/>
          <w:kern w:val="0"/>
          <w:sz w:val="36"/>
          <w:szCs w:val="36"/>
        </w:rPr>
      </w:pPr>
      <w:r>
        <w:rPr>
          <w:rFonts w:asciiTheme="majorEastAsia" w:hAnsiTheme="majorEastAsia" w:eastAsiaTheme="majorEastAsia"/>
          <w:sz w:val="28"/>
        </w:rPr>
        <w:br w:type="page"/>
      </w:r>
      <w:r>
        <w:rPr>
          <w:rFonts w:cs="宋体" w:asciiTheme="majorEastAsia" w:hAnsiTheme="majorEastAsia" w:eastAsiaTheme="majorEastAsia"/>
          <w:b/>
          <w:kern w:val="0"/>
          <w:sz w:val="36"/>
          <w:szCs w:val="36"/>
        </w:rPr>
        <w:t>关于资格的声明函</w:t>
      </w:r>
    </w:p>
    <w:p>
      <w:pPr>
        <w:spacing w:line="360" w:lineRule="auto"/>
        <w:jc w:val="center"/>
        <w:rPr>
          <w:rFonts w:cs="宋体" w:asciiTheme="majorEastAsia" w:hAnsiTheme="majorEastAsia" w:eastAsiaTheme="majorEastAsia"/>
          <w:b/>
        </w:rPr>
      </w:pPr>
    </w:p>
    <w:p>
      <w:pPr>
        <w:widowControl/>
        <w:snapToGrid w:val="0"/>
        <w:spacing w:before="100" w:beforeAutospacing="1" w:after="100" w:afterAutospacing="1" w:line="300" w:lineRule="auto"/>
        <w:jc w:val="left"/>
        <w:rPr>
          <w:rFonts w:cs="仿宋_GB2312" w:asciiTheme="majorEastAsia" w:hAnsiTheme="majorEastAsia" w:eastAsiaTheme="majorEastAsia"/>
          <w:b/>
          <w:kern w:val="0"/>
          <w:sz w:val="28"/>
          <w:szCs w:val="28"/>
        </w:rPr>
      </w:pPr>
      <w:r>
        <w:rPr>
          <w:rFonts w:hint="eastAsia" w:asciiTheme="majorEastAsia" w:hAnsiTheme="majorEastAsia" w:eastAsiaTheme="majorEastAsia"/>
          <w:b/>
          <w:bCs/>
          <w:sz w:val="32"/>
          <w:szCs w:val="32"/>
        </w:rPr>
        <w:t>南通港码头管理有限公司</w:t>
      </w:r>
      <w:r>
        <w:rPr>
          <w:rFonts w:hint="eastAsia" w:cs="仿宋_GB2312" w:asciiTheme="majorEastAsia" w:hAnsiTheme="majorEastAsia" w:eastAsiaTheme="majorEastAsia"/>
          <w:b/>
          <w:kern w:val="0"/>
          <w:sz w:val="28"/>
          <w:szCs w:val="28"/>
        </w:rPr>
        <w:t>：</w:t>
      </w:r>
    </w:p>
    <w:p>
      <w:pPr>
        <w:widowControl/>
        <w:snapToGrid w:val="0"/>
        <w:spacing w:before="100" w:beforeAutospacing="1" w:after="100" w:afterAutospacing="1" w:line="300" w:lineRule="auto"/>
        <w:ind w:firstLine="560" w:firstLineChars="200"/>
        <w:jc w:val="left"/>
        <w:rPr>
          <w:rFonts w:cs="仿宋_GB2312" w:asciiTheme="majorEastAsia" w:hAnsiTheme="majorEastAsia" w:eastAsiaTheme="majorEastAsia"/>
          <w:kern w:val="0"/>
          <w:sz w:val="28"/>
          <w:szCs w:val="28"/>
        </w:rPr>
      </w:pPr>
      <w:r>
        <w:rPr>
          <w:rFonts w:hint="eastAsia" w:cs="仿宋_GB2312" w:asciiTheme="majorEastAsia" w:hAnsiTheme="majorEastAsia" w:eastAsiaTheme="majorEastAsia"/>
          <w:kern w:val="0"/>
          <w:sz w:val="28"/>
          <w:szCs w:val="28"/>
        </w:rPr>
        <w:t>我公司认真对照招标公告，符合贵方提出的资格要求，自愿报名参加投标，并保证提供的资料文件是准确的和真实的。提供虚假材料的愿意承担相应的法律责任。</w:t>
      </w:r>
    </w:p>
    <w:p>
      <w:pPr>
        <w:snapToGrid w:val="0"/>
        <w:spacing w:line="300" w:lineRule="auto"/>
        <w:ind w:firstLine="280" w:firstLineChars="100"/>
        <w:jc w:val="left"/>
        <w:rPr>
          <w:rFonts w:cs="仿宋_GB2312" w:asciiTheme="majorEastAsia" w:hAnsiTheme="majorEastAsia" w:eastAsiaTheme="majorEastAsia"/>
          <w:kern w:val="0"/>
          <w:sz w:val="28"/>
          <w:szCs w:val="28"/>
        </w:rPr>
      </w:pPr>
      <w:r>
        <w:rPr>
          <w:rFonts w:hint="eastAsia" w:cs="仿宋_GB2312" w:asciiTheme="majorEastAsia" w:hAnsiTheme="majorEastAsia" w:eastAsiaTheme="majorEastAsia"/>
          <w:sz w:val="28"/>
          <w:szCs w:val="28"/>
        </w:rPr>
        <w:t xml:space="preserve">   附：公司投标之前3年内有无受各级管理部门的处分或处罚（含其授权服务的子公司、分公司等），如果不主动填报而被事后发现的，将取消其投标资格，并按有关规定从重处理；没有受处罚的投标人，要填写“没有受到任何处罚”，此表不能空白。</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时 间</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受处理的原因</w:t>
            </w:r>
          </w:p>
          <w:p>
            <w:pPr>
              <w:widowControl/>
              <w:snapToGrid w:val="0"/>
              <w:spacing w:before="100" w:beforeAutospacing="1" w:after="100" w:afterAutospacing="1" w:line="300" w:lineRule="auto"/>
              <w:jc w:val="center"/>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（如在政府采购活动中受处理的，注明采购项目名称及处理原因）</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处理的内容</w:t>
            </w:r>
          </w:p>
          <w:p>
            <w:pPr>
              <w:widowControl/>
              <w:snapToGrid w:val="0"/>
              <w:spacing w:before="100" w:beforeAutospacing="1" w:after="100" w:afterAutospacing="1" w:line="300" w:lineRule="auto"/>
              <w:jc w:val="center"/>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（如受到禁止一段时期参加某种项目的政府采购活动的，要说明解禁时间）</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9" w:hRule="atLeast"/>
          <w:jc w:val="center"/>
        </w:trPr>
        <w:tc>
          <w:tcPr>
            <w:tcW w:w="1242"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c>
          <w:tcPr>
            <w:tcW w:w="2977"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c>
          <w:tcPr>
            <w:tcW w:w="2977"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r>
    </w:tbl>
    <w:p>
      <w:pPr>
        <w:rPr>
          <w:rFonts w:asciiTheme="majorEastAsia" w:hAnsiTheme="majorEastAsia" w:eastAsiaTheme="majorEastAsia"/>
          <w:szCs w:val="24"/>
        </w:rPr>
      </w:pPr>
    </w:p>
    <w:p>
      <w:pPr>
        <w:pStyle w:val="435"/>
        <w:spacing w:line="560" w:lineRule="atLeast"/>
        <w:jc w:val="center"/>
        <w:rPr>
          <w:rFonts w:asciiTheme="majorEastAsia" w:hAnsiTheme="majorEastAsia" w:eastAsiaTheme="majorEastAsia"/>
          <w:b/>
          <w:bCs/>
          <w:sz w:val="36"/>
          <w:szCs w:val="36"/>
        </w:rPr>
      </w:pPr>
      <w:r>
        <w:rPr>
          <w:rFonts w:hint="eastAsia" w:cs="黑体" w:asciiTheme="majorEastAsia" w:hAnsiTheme="majorEastAsia" w:eastAsiaTheme="majorEastAsia"/>
          <w:kern w:val="2"/>
          <w:sz w:val="30"/>
          <w:szCs w:val="30"/>
          <w:lang w:val="en-GB"/>
        </w:rPr>
        <w:br w:type="page"/>
      </w:r>
      <w:r>
        <w:rPr>
          <w:rFonts w:hint="eastAsia" w:asciiTheme="majorEastAsia" w:hAnsiTheme="majorEastAsia" w:eastAsiaTheme="majorEastAsia"/>
          <w:b/>
          <w:bCs/>
          <w:sz w:val="36"/>
          <w:szCs w:val="36"/>
        </w:rPr>
        <w:t>履行合同所必需的设备和专业技术能力承诺函</w:t>
      </w:r>
    </w:p>
    <w:p>
      <w:pPr>
        <w:jc w:val="center"/>
        <w:rPr>
          <w:rFonts w:cs="宋体" w:asciiTheme="majorEastAsia" w:hAnsiTheme="majorEastAsia" w:eastAsiaTheme="majorEastAsia"/>
          <w:b/>
          <w:bCs/>
          <w:sz w:val="36"/>
          <w:szCs w:val="36"/>
        </w:rPr>
      </w:pPr>
    </w:p>
    <w:p>
      <w:pPr>
        <w:spacing w:line="480" w:lineRule="auto"/>
        <w:jc w:val="left"/>
        <w:rPr>
          <w:rFonts w:cs="宋体" w:asciiTheme="majorEastAsia" w:hAnsiTheme="majorEastAsia" w:eastAsiaTheme="majorEastAsia"/>
          <w:sz w:val="28"/>
          <w:szCs w:val="28"/>
        </w:rPr>
      </w:pPr>
      <w:r>
        <w:rPr>
          <w:rFonts w:hint="eastAsia" w:asciiTheme="majorEastAsia" w:hAnsiTheme="majorEastAsia" w:eastAsiaTheme="majorEastAsia"/>
          <w:b/>
          <w:bCs/>
          <w:sz w:val="32"/>
          <w:szCs w:val="32"/>
        </w:rPr>
        <w:t>南通港码头管理有限公司</w:t>
      </w:r>
      <w:r>
        <w:rPr>
          <w:rFonts w:hint="eastAsia" w:cs="宋体" w:asciiTheme="majorEastAsia" w:hAnsiTheme="majorEastAsia" w:eastAsiaTheme="majorEastAsia"/>
          <w:sz w:val="28"/>
          <w:szCs w:val="28"/>
        </w:rPr>
        <w:t>：</w:t>
      </w:r>
    </w:p>
    <w:p>
      <w:pPr>
        <w:spacing w:line="480" w:lineRule="auto"/>
        <w:ind w:firstLine="56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我单位（供应商名称）郑重承诺：</w:t>
      </w:r>
    </w:p>
    <w:p>
      <w:pPr>
        <w:spacing w:line="480" w:lineRule="auto"/>
        <w:ind w:firstLine="560" w:firstLineChars="20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贵方组织的(项目名称），(项目编号），我单位(在下划线上如实填写：有或没有）履行合同所必需的设备和专业技术能力。</w:t>
      </w:r>
    </w:p>
    <w:p>
      <w:pPr>
        <w:spacing w:line="480" w:lineRule="auto"/>
        <w:ind w:firstLine="560"/>
        <w:jc w:val="left"/>
        <w:rPr>
          <w:rFonts w:cs="宋体" w:asciiTheme="majorEastAsia" w:hAnsiTheme="majorEastAsia" w:eastAsiaTheme="majorEastAsia"/>
          <w:sz w:val="24"/>
          <w:szCs w:val="24"/>
        </w:rPr>
      </w:pPr>
    </w:p>
    <w:p>
      <w:pPr>
        <w:spacing w:line="480" w:lineRule="auto"/>
        <w:ind w:firstLine="560"/>
        <w:jc w:val="left"/>
        <w:rPr>
          <w:rFonts w:cs="宋体" w:asciiTheme="majorEastAsia" w:hAnsiTheme="majorEastAsia" w:eastAsiaTheme="majorEastAsia"/>
          <w:sz w:val="28"/>
          <w:szCs w:val="28"/>
        </w:rPr>
      </w:pPr>
    </w:p>
    <w:p>
      <w:pPr>
        <w:spacing w:line="480" w:lineRule="auto"/>
        <w:ind w:firstLine="560"/>
        <w:jc w:val="left"/>
        <w:rPr>
          <w:rFonts w:cs="宋体" w:asciiTheme="majorEastAsia" w:hAnsiTheme="majorEastAsia" w:eastAsiaTheme="majorEastAsia"/>
          <w:sz w:val="28"/>
          <w:szCs w:val="28"/>
        </w:rPr>
      </w:pPr>
    </w:p>
    <w:p>
      <w:pPr>
        <w:spacing w:line="480" w:lineRule="auto"/>
        <w:ind w:firstLine="56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承诺人：（公章）</w:t>
      </w:r>
    </w:p>
    <w:p>
      <w:pPr>
        <w:spacing w:line="480" w:lineRule="auto"/>
        <w:ind w:firstLine="56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年    月   日</w:t>
      </w:r>
    </w:p>
    <w:p>
      <w:pPr>
        <w:spacing w:line="360" w:lineRule="auto"/>
        <w:jc w:val="center"/>
        <w:rPr>
          <w:rFonts w:cs="宋体" w:asciiTheme="majorEastAsia" w:hAnsiTheme="majorEastAsia" w:eastAsiaTheme="majorEastAsia"/>
          <w:b/>
          <w:bCs/>
          <w:sz w:val="36"/>
          <w:szCs w:val="36"/>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jc w:val="center"/>
        <w:rPr>
          <w:rFonts w:cs="宋体" w:asciiTheme="majorEastAsia" w:hAnsiTheme="majorEastAsia" w:eastAsiaTheme="majorEastAsia"/>
          <w:b/>
          <w:kern w:val="0"/>
          <w:sz w:val="24"/>
          <w:szCs w:val="24"/>
        </w:rPr>
      </w:pPr>
      <w:r>
        <w:rPr>
          <w:rFonts w:hint="eastAsia" w:cs="宋体" w:asciiTheme="majorEastAsia" w:hAnsiTheme="majorEastAsia" w:eastAsiaTheme="majorEastAsia"/>
          <w:b/>
          <w:sz w:val="30"/>
          <w:szCs w:val="30"/>
        </w:rPr>
        <w:br w:type="page"/>
      </w:r>
      <w:r>
        <w:rPr>
          <w:rFonts w:hint="eastAsia" w:cs="宋体" w:asciiTheme="majorEastAsia" w:hAnsiTheme="majorEastAsia" w:eastAsiaTheme="majorEastAsia"/>
          <w:b/>
          <w:sz w:val="30"/>
          <w:szCs w:val="30"/>
        </w:rPr>
        <w:t>参加政府采购活动前 3 年内在经营活动中没有重大违法记</w:t>
      </w:r>
      <w:r>
        <w:rPr>
          <w:rFonts w:hint="eastAsia" w:cs="宋体" w:asciiTheme="majorEastAsia" w:hAnsiTheme="majorEastAsia" w:eastAsiaTheme="majorEastAsia"/>
          <w:b/>
          <w:bCs/>
          <w:sz w:val="30"/>
          <w:szCs w:val="30"/>
        </w:rPr>
        <w:t>录和失信记录的书面声明</w:t>
      </w:r>
    </w:p>
    <w:p>
      <w:pPr>
        <w:spacing w:line="460" w:lineRule="exact"/>
        <w:rPr>
          <w:rFonts w:cs="宋体" w:asciiTheme="majorEastAsia" w:hAnsiTheme="majorEastAsia" w:eastAsiaTheme="majorEastAsia"/>
          <w:b/>
          <w:sz w:val="44"/>
          <w:szCs w:val="44"/>
        </w:rPr>
      </w:pPr>
    </w:p>
    <w:p>
      <w:pPr>
        <w:spacing w:line="460" w:lineRule="exact"/>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声  明</w:t>
      </w:r>
    </w:p>
    <w:p>
      <w:pPr>
        <w:spacing w:line="460" w:lineRule="exact"/>
        <w:ind w:firstLine="881"/>
        <w:jc w:val="center"/>
        <w:rPr>
          <w:rFonts w:cs="宋体" w:asciiTheme="majorEastAsia" w:hAnsiTheme="majorEastAsia" w:eastAsiaTheme="majorEastAsia"/>
          <w:b/>
          <w:sz w:val="44"/>
          <w:szCs w:val="44"/>
        </w:rPr>
      </w:pPr>
    </w:p>
    <w:p>
      <w:pPr>
        <w:spacing w:line="480" w:lineRule="auto"/>
        <w:ind w:firstLine="560" w:firstLineChars="20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我公司郑重声明：参加本次政府采购活动前 3 年内，我公司在经营活动中没有因违法经营受到刑事处罚或者责令停产停业、吊销许可证或者执照、较大数额罚款等行政处罚。</w:t>
      </w:r>
    </w:p>
    <w:p>
      <w:pPr>
        <w:spacing w:line="480" w:lineRule="auto"/>
        <w:ind w:firstLine="560" w:firstLineChars="20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480" w:lineRule="auto"/>
        <w:ind w:firstLine="560" w:firstLineChars="200"/>
        <w:jc w:val="left"/>
        <w:rPr>
          <w:rFonts w:cs="宋体" w:asciiTheme="majorEastAsia" w:hAnsiTheme="majorEastAsia" w:eastAsiaTheme="majorEastAsia"/>
          <w:sz w:val="28"/>
          <w:szCs w:val="28"/>
        </w:rPr>
      </w:pPr>
    </w:p>
    <w:p>
      <w:pPr>
        <w:spacing w:line="480" w:lineRule="auto"/>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供应商名称（公章）：</w:t>
      </w:r>
    </w:p>
    <w:p>
      <w:pPr>
        <w:spacing w:line="480" w:lineRule="auto"/>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授权代表签字：</w:t>
      </w:r>
    </w:p>
    <w:p>
      <w:pPr>
        <w:spacing w:line="480" w:lineRule="auto"/>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日期：______年    月    日</w:t>
      </w:r>
    </w:p>
    <w:p>
      <w:pPr>
        <w:spacing w:line="480" w:lineRule="auto"/>
        <w:jc w:val="left"/>
        <w:rPr>
          <w:rFonts w:cs="宋体" w:asciiTheme="majorEastAsia" w:hAnsiTheme="majorEastAsia" w:eastAsiaTheme="majorEastAsia"/>
          <w:sz w:val="28"/>
          <w:szCs w:val="28"/>
        </w:rPr>
      </w:pPr>
    </w:p>
    <w:p>
      <w:pPr>
        <w:ind w:firstLine="560"/>
        <w:jc w:val="left"/>
        <w:rPr>
          <w:rFonts w:cs="宋体" w:asciiTheme="majorEastAsia" w:hAnsiTheme="majorEastAsia" w:eastAsiaTheme="majorEastAsia"/>
          <w:sz w:val="28"/>
          <w:szCs w:val="28"/>
        </w:rPr>
      </w:pPr>
    </w:p>
    <w:p>
      <w:pPr>
        <w:keepNext/>
        <w:spacing w:beforeLines="100" w:line="480" w:lineRule="exact"/>
        <w:ind w:left="561"/>
        <w:jc w:val="center"/>
        <w:outlineLvl w:val="2"/>
        <w:rPr>
          <w:rFonts w:ascii="Arial" w:hAnsi="Arial" w:eastAsia="仿宋_GB2312"/>
          <w:b/>
          <w:snapToGrid w:val="0"/>
          <w:kern w:val="0"/>
          <w:sz w:val="28"/>
          <w:szCs w:val="24"/>
        </w:rPr>
      </w:pPr>
      <w:r>
        <w:rPr>
          <w:rFonts w:hint="eastAsia" w:asciiTheme="majorEastAsia" w:hAnsiTheme="majorEastAsia" w:eastAsiaTheme="majorEastAsia"/>
          <w:szCs w:val="24"/>
        </w:rPr>
        <w:br w:type="page"/>
      </w:r>
      <w:r>
        <w:rPr>
          <w:rFonts w:hint="eastAsia" w:cs="宋体" w:asciiTheme="majorEastAsia" w:hAnsiTheme="majorEastAsia" w:eastAsiaTheme="majorEastAsia"/>
          <w:b/>
          <w:sz w:val="32"/>
          <w:szCs w:val="32"/>
        </w:rPr>
        <w:t>投标货物技术性能表</w:t>
      </w:r>
    </w:p>
    <w:p>
      <w:pPr>
        <w:spacing w:beforeLines="100"/>
        <w:rPr>
          <w:rFonts w:ascii="宋体" w:hAnsi="宋体"/>
          <w:snapToGrid w:val="0"/>
          <w:kern w:val="0"/>
          <w:sz w:val="24"/>
          <w:u w:val="single"/>
        </w:rPr>
      </w:pPr>
      <w:r>
        <w:rPr>
          <w:rFonts w:hint="eastAsia" w:ascii="宋体" w:hAnsi="宋体"/>
          <w:snapToGrid w:val="0"/>
          <w:kern w:val="0"/>
          <w:sz w:val="24"/>
        </w:rPr>
        <w:t>项目编号：</w:t>
      </w:r>
    </w:p>
    <w:tbl>
      <w:tblPr>
        <w:tblStyle w:val="53"/>
        <w:tblW w:w="0" w:type="auto"/>
        <w:tblInd w:w="93" w:type="dxa"/>
        <w:tblLayout w:type="autofit"/>
        <w:tblCellMar>
          <w:top w:w="0" w:type="dxa"/>
          <w:left w:w="108" w:type="dxa"/>
          <w:bottom w:w="0" w:type="dxa"/>
          <w:right w:w="108" w:type="dxa"/>
        </w:tblCellMar>
      </w:tblPr>
      <w:tblGrid>
        <w:gridCol w:w="3442"/>
        <w:gridCol w:w="4987"/>
      </w:tblGrid>
      <w:tr>
        <w:tblPrEx>
          <w:tblCellMar>
            <w:top w:w="0" w:type="dxa"/>
            <w:left w:w="108" w:type="dxa"/>
            <w:bottom w:w="0" w:type="dxa"/>
            <w:right w:w="108" w:type="dxa"/>
          </w:tblCellMar>
        </w:tblPrEx>
        <w:trPr>
          <w:trHeight w:val="20" w:hRule="atLeast"/>
        </w:trPr>
        <w:tc>
          <w:tcPr>
            <w:tcW w:w="3442"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型号</w:t>
            </w:r>
          </w:p>
        </w:tc>
        <w:tc>
          <w:tcPr>
            <w:tcW w:w="4987" w:type="dxa"/>
            <w:tcBorders>
              <w:top w:val="single" w:color="auto" w:sz="4" w:space="0"/>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尺寸</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最大平台高度</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最大工作高度</w:t>
            </w:r>
            <w:r>
              <w:rPr>
                <w:rFonts w:cs="Calibri"/>
              </w:rPr>
              <w:t>*</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最大水平延伸</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长度-收起状态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宽度-收起状态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高度-收起状态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轴距</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离地间隙</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平台尺寸（长×宽×高）</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性能</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额定承载</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r>
              <w:rPr>
                <w:rFonts w:hint="eastAsia" w:cs="Calibri"/>
              </w:rPr>
              <w:br w:type="textWrapping"/>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转台回转</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平台回转</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行驶速度-收起状态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行驶速度-举升状态</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爬坡能力</w:t>
            </w:r>
            <w:r>
              <w:rPr>
                <w:rFonts w:cs="Calibri"/>
              </w:rPr>
              <w:t>**</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内转向半径</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外转向半径</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转台尾扫</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工作时允许倾角</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正常作业时的最大噪音</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驱动×转向</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轮胎规格（类型）</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动力</w:t>
            </w:r>
          </w:p>
        </w:tc>
        <w:tc>
          <w:tcPr>
            <w:tcW w:w="4987" w:type="dxa"/>
            <w:tcBorders>
              <w:top w:val="nil"/>
              <w:left w:val="nil"/>
              <w:bottom w:val="single" w:color="auto" w:sz="4" w:space="0"/>
              <w:right w:val="single" w:color="auto" w:sz="4" w:space="0"/>
            </w:tcBorders>
            <w:shd w:val="clear" w:color="auto" w:fill="auto"/>
            <w:vAlign w:val="center"/>
          </w:tcPr>
          <w:p>
            <w:r>
              <w:rPr>
                <w:rFonts w:hint="eastAsia"/>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动力源</w:t>
            </w:r>
          </w:p>
        </w:tc>
        <w:tc>
          <w:tcPr>
            <w:tcW w:w="4987" w:type="dxa"/>
            <w:tcBorders>
              <w:top w:val="nil"/>
              <w:left w:val="nil"/>
              <w:bottom w:val="single" w:color="auto" w:sz="4" w:space="0"/>
              <w:right w:val="single" w:color="auto" w:sz="4" w:space="0"/>
            </w:tcBorders>
            <w:shd w:val="clear" w:color="auto" w:fill="auto"/>
            <w:vAlign w:val="center"/>
          </w:tcPr>
          <w:p>
            <w:r>
              <w:rPr>
                <w:rFonts w:cs="Calibri"/>
              </w:rPr>
              <w:br w:type="textWrapping"/>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控制电压</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燃油箱容积-柴油</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液压油箱容积</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其他</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r>
              <w:rPr>
                <w:rFonts w:cs="Calibri"/>
              </w:rPr>
              <w:t>　</w:t>
            </w: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液压系统压力</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IP等级</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最大允许风速</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r>
        <w:tblPrEx>
          <w:tblCellMar>
            <w:top w:w="0" w:type="dxa"/>
            <w:left w:w="108" w:type="dxa"/>
            <w:bottom w:w="0" w:type="dxa"/>
            <w:right w:w="108" w:type="dxa"/>
          </w:tblCellMar>
        </w:tblPrEx>
        <w:trPr>
          <w:trHeight w:val="20" w:hRule="atLeast"/>
        </w:trPr>
        <w:tc>
          <w:tcPr>
            <w:tcW w:w="3442" w:type="dxa"/>
            <w:tcBorders>
              <w:top w:val="nil"/>
              <w:left w:val="single" w:color="auto" w:sz="4" w:space="0"/>
              <w:bottom w:val="single" w:color="auto" w:sz="4" w:space="0"/>
              <w:right w:val="single" w:color="auto" w:sz="4" w:space="0"/>
            </w:tcBorders>
            <w:shd w:val="clear" w:color="auto" w:fill="auto"/>
            <w:vAlign w:val="center"/>
          </w:tcPr>
          <w:p>
            <w:r>
              <w:rPr>
                <w:rFonts w:hint="eastAsia"/>
              </w:rPr>
              <w:t>最大允许侧向力</w:t>
            </w:r>
          </w:p>
        </w:tc>
        <w:tc>
          <w:tcPr>
            <w:tcW w:w="4987" w:type="dxa"/>
            <w:tcBorders>
              <w:top w:val="nil"/>
              <w:left w:val="nil"/>
              <w:bottom w:val="single" w:color="auto" w:sz="4" w:space="0"/>
              <w:right w:val="single" w:color="auto" w:sz="4" w:space="0"/>
            </w:tcBorders>
            <w:shd w:val="clear" w:color="auto" w:fill="auto"/>
            <w:vAlign w:val="center"/>
          </w:tcPr>
          <w:p>
            <w:pPr>
              <w:rPr>
                <w:rFonts w:cs="Calibri"/>
              </w:rPr>
            </w:pPr>
          </w:p>
        </w:tc>
      </w:tr>
    </w:tbl>
    <w:p>
      <w:pPr>
        <w:rPr>
          <w:rFonts w:asciiTheme="majorEastAsia" w:hAnsiTheme="majorEastAsia" w:eastAsiaTheme="majorEastAsia"/>
          <w:szCs w:val="24"/>
        </w:rPr>
      </w:pPr>
    </w:p>
    <w:p>
      <w:pP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ind w:firstLine="641"/>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技术部分正负偏离表</w:t>
      </w:r>
    </w:p>
    <w:p>
      <w:pPr>
        <w:ind w:firstLine="641"/>
        <w:jc w:val="center"/>
        <w:rPr>
          <w:rFonts w:cs="宋体" w:asciiTheme="majorEastAsia" w:hAnsiTheme="majorEastAsia" w:eastAsiaTheme="majorEastAsia"/>
          <w:b/>
          <w:sz w:val="32"/>
          <w:szCs w:val="32"/>
        </w:rPr>
      </w:pPr>
    </w:p>
    <w:p>
      <w:pPr>
        <w:ind w:firstLine="360" w:firstLineChars="15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投标人全称（加盖公章）：       </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序号</w:t>
            </w:r>
          </w:p>
        </w:tc>
        <w:tc>
          <w:tcPr>
            <w:tcW w:w="2852"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招标要求</w:t>
            </w:r>
          </w:p>
        </w:tc>
        <w:tc>
          <w:tcPr>
            <w:tcW w:w="2852"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投标响应</w:t>
            </w:r>
          </w:p>
        </w:tc>
        <w:tc>
          <w:tcPr>
            <w:tcW w:w="1307"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超出、符合或偏离</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bl>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法定代表人或授权代表签字：</w:t>
      </w:r>
    </w:p>
    <w:p>
      <w:pPr>
        <w:rPr>
          <w:rFonts w:cs="宋体" w:asciiTheme="majorEastAsia" w:hAnsiTheme="majorEastAsia" w:eastAsiaTheme="majorEastAsia"/>
          <w:sz w:val="24"/>
          <w:szCs w:val="24"/>
        </w:rPr>
      </w:pPr>
    </w:p>
    <w:p>
      <w:pPr>
        <w:rPr>
          <w:rFonts w:cs="宋体" w:asciiTheme="majorEastAsia" w:hAnsiTheme="majorEastAsia" w:eastAsiaTheme="majorEastAsia"/>
          <w:sz w:val="24"/>
          <w:szCs w:val="24"/>
        </w:rPr>
      </w:pPr>
    </w:p>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注：1、按照基本技术要求详细填列。</w:t>
      </w:r>
    </w:p>
    <w:p>
      <w:pPr>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2、行数不够，可自行添加。</w:t>
      </w:r>
    </w:p>
    <w:p>
      <w:pPr>
        <w:rPr>
          <w:rFonts w:asciiTheme="majorEastAsia" w:hAnsiTheme="majorEastAsia" w:eastAsiaTheme="majorEastAsia"/>
          <w:szCs w:val="24"/>
        </w:rPr>
      </w:pPr>
    </w:p>
    <w:p>
      <w:pPr>
        <w:widowControl/>
        <w:spacing w:line="560" w:lineRule="atLeast"/>
        <w:jc w:val="left"/>
        <w:rPr>
          <w:rFonts w:asciiTheme="majorEastAsia" w:hAnsiTheme="majorEastAsia" w:eastAsiaTheme="majorEastAsia"/>
          <w:kern w:val="0"/>
          <w:sz w:val="20"/>
        </w:rPr>
      </w:pPr>
    </w:p>
    <w:p>
      <w:pPr>
        <w:widowControl/>
        <w:spacing w:line="560" w:lineRule="atLeast"/>
        <w:jc w:val="left"/>
        <w:rPr>
          <w:rFonts w:asciiTheme="majorEastAsia" w:hAnsiTheme="majorEastAsia" w:eastAsiaTheme="majorEastAsia"/>
          <w:kern w:val="0"/>
          <w:sz w:val="20"/>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jc w:val="center"/>
        <w:rPr>
          <w:rFonts w:cs="宋体" w:asciiTheme="majorEastAsia" w:hAnsiTheme="majorEastAsia" w:eastAsiaTheme="majorEastAsia"/>
          <w:b/>
          <w:sz w:val="32"/>
          <w:szCs w:val="32"/>
        </w:rPr>
      </w:pPr>
      <w:r>
        <w:rPr>
          <w:rFonts w:cs="微软雅黑" w:asciiTheme="majorEastAsia" w:hAnsiTheme="majorEastAsia" w:eastAsiaTheme="majorEastAsia"/>
          <w:b/>
          <w:sz w:val="32"/>
          <w:szCs w:val="32"/>
          <w:shd w:val="clear" w:color="auto" w:fill="FFFFFF"/>
        </w:rPr>
        <w:br w:type="page"/>
      </w:r>
      <w:r>
        <w:rPr>
          <w:rFonts w:hint="eastAsia" w:cs="宋体" w:asciiTheme="majorEastAsia" w:hAnsiTheme="majorEastAsia" w:eastAsiaTheme="majorEastAsia"/>
          <w:b/>
          <w:sz w:val="32"/>
          <w:szCs w:val="32"/>
        </w:rPr>
        <w:t>商务部分正负偏离表</w:t>
      </w:r>
    </w:p>
    <w:p>
      <w:pPr>
        <w:jc w:val="center"/>
        <w:rPr>
          <w:rFonts w:cs="宋体" w:asciiTheme="majorEastAsia" w:hAnsiTheme="majorEastAsia" w:eastAsiaTheme="majorEastAsia"/>
          <w:sz w:val="24"/>
          <w:szCs w:val="24"/>
        </w:rPr>
      </w:pPr>
    </w:p>
    <w:p>
      <w:pPr>
        <w:ind w:firstLine="600" w:firstLineChars="25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投标人全称（加盖公章）：        </w:t>
      </w:r>
    </w:p>
    <w:tbl>
      <w:tblPr>
        <w:tblStyle w:val="53"/>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项目</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招标文件要求</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是否响应</w:t>
            </w: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9"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质保期</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9"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售后服务时间</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交货时间</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cs="宋体" w:asciiTheme="majorEastAsia" w:hAnsiTheme="majorEastAsia" w:eastAsiaTheme="majorEastAsia"/>
                <w:sz w:val="24"/>
              </w:rPr>
              <w:t>合同签订后天内</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rPr>
            </w:pPr>
            <w:r>
              <w:rPr>
                <w:rFonts w:hint="eastAsia" w:cs="宋体" w:asciiTheme="majorEastAsia" w:hAnsiTheme="majorEastAsia" w:eastAsiaTheme="majorEastAsia"/>
                <w:sz w:val="24"/>
              </w:rPr>
              <w:t>交货方式</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rPr>
            </w:pPr>
          </w:p>
          <w:p>
            <w:pPr>
              <w:snapToGrid w:val="0"/>
              <w:spacing w:beforeLines="50"/>
              <w:rPr>
                <w:rFonts w:cs="仿宋_GB2312" w:asciiTheme="majorEastAsia" w:hAnsiTheme="majorEastAsia" w:eastAsiaTheme="majorEastAsia"/>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rPr>
            </w:pPr>
            <w:r>
              <w:rPr>
                <w:rFonts w:hint="eastAsia" w:cs="宋体" w:asciiTheme="majorEastAsia" w:hAnsiTheme="majorEastAsia" w:eastAsiaTheme="majorEastAsia"/>
                <w:sz w:val="24"/>
              </w:rPr>
              <w:t>交货地点</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rPr>
            </w:pPr>
          </w:p>
          <w:p>
            <w:pPr>
              <w:snapToGrid w:val="0"/>
              <w:spacing w:beforeLines="50"/>
              <w:rPr>
                <w:rFonts w:cs="仿宋_GB2312" w:asciiTheme="majorEastAsia" w:hAnsiTheme="majorEastAsia" w:eastAsiaTheme="majorEastAsia"/>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付款方式</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投标货币</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bl>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法定代表人或授权代表签字：</w:t>
      </w: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rPr>
          <w:lang w:val="en-GB"/>
        </w:rPr>
      </w:pPr>
      <w:bookmarkStart w:id="282" w:name="_Toc29991"/>
      <w:bookmarkStart w:id="283" w:name="_三、诚信承诺函"/>
      <w:r>
        <w:rPr>
          <w:rFonts w:hint="eastAsia"/>
          <w:lang w:val="en-GB"/>
        </w:rPr>
        <w:br w:type="page"/>
      </w:r>
    </w:p>
    <w:p>
      <w:pPr>
        <w:jc w:val="center"/>
        <w:rPr>
          <w:b/>
          <w:bCs/>
          <w:sz w:val="28"/>
          <w:szCs w:val="28"/>
          <w:lang w:val="en-GB"/>
        </w:rPr>
      </w:pPr>
      <w:r>
        <w:rPr>
          <w:rFonts w:hint="eastAsia"/>
          <w:b/>
          <w:bCs/>
          <w:sz w:val="28"/>
          <w:szCs w:val="28"/>
          <w:lang w:val="en-GB"/>
        </w:rPr>
        <w:t>诚信承诺函</w:t>
      </w:r>
      <w:bookmarkEnd w:id="282"/>
    </w:p>
    <w:bookmarkEnd w:id="283"/>
    <w:p>
      <w:pPr>
        <w:widowControl/>
        <w:spacing w:beforeLines="50" w:line="360" w:lineRule="auto"/>
        <w:jc w:val="left"/>
        <w:rPr>
          <w:rFonts w:cs="宋体" w:asciiTheme="majorEastAsia" w:hAnsiTheme="majorEastAsia" w:eastAsiaTheme="majorEastAsia"/>
          <w:kern w:val="0"/>
          <w:sz w:val="28"/>
          <w:szCs w:val="28"/>
        </w:rPr>
      </w:pPr>
      <w:r>
        <w:rPr>
          <w:rFonts w:hint="eastAsia" w:asciiTheme="majorEastAsia" w:hAnsiTheme="majorEastAsia" w:eastAsiaTheme="majorEastAsia"/>
          <w:b/>
          <w:bCs/>
          <w:sz w:val="32"/>
          <w:szCs w:val="32"/>
        </w:rPr>
        <w:t>南通港码头管理有限公司</w:t>
      </w:r>
      <w:r>
        <w:rPr>
          <w:rFonts w:hint="eastAsia" w:cs="宋体" w:asciiTheme="majorEastAsia" w:hAnsiTheme="majorEastAsia" w:eastAsiaTheme="majorEastAsia"/>
          <w:kern w:val="0"/>
          <w:sz w:val="28"/>
          <w:szCs w:val="28"/>
        </w:rPr>
        <w:t>：</w:t>
      </w:r>
    </w:p>
    <w:p>
      <w:pPr>
        <w:widowControl/>
        <w:spacing w:line="360" w:lineRule="auto"/>
        <w:ind w:firstLine="592" w:firstLineChars="200"/>
        <w:jc w:val="left"/>
        <w:rPr>
          <w:rFonts w:cs="宋体" w:asciiTheme="majorEastAsia" w:hAnsiTheme="majorEastAsia" w:eastAsiaTheme="majorEastAsia"/>
          <w:kern w:val="0"/>
          <w:sz w:val="28"/>
          <w:szCs w:val="28"/>
        </w:rPr>
      </w:pPr>
      <w:r>
        <w:rPr>
          <w:rFonts w:asciiTheme="majorEastAsia" w:hAnsiTheme="majorEastAsia" w:eastAsiaTheme="majorEastAsia"/>
          <w:spacing w:val="8"/>
          <w:kern w:val="0"/>
          <w:sz w:val="28"/>
          <w:szCs w:val="28"/>
        </w:rPr>
        <w:t>我单位参</w:t>
      </w:r>
      <w:r>
        <w:rPr>
          <w:rFonts w:hint="eastAsia" w:asciiTheme="majorEastAsia" w:hAnsiTheme="majorEastAsia" w:eastAsiaTheme="majorEastAsia"/>
          <w:spacing w:val="8"/>
          <w:kern w:val="0"/>
          <w:sz w:val="28"/>
          <w:szCs w:val="28"/>
        </w:rPr>
        <w:t>与</w:t>
      </w:r>
      <w:r>
        <w:rPr>
          <w:rFonts w:asciiTheme="majorEastAsia" w:hAnsiTheme="majorEastAsia" w:eastAsiaTheme="majorEastAsia"/>
          <w:spacing w:val="8"/>
          <w:kern w:val="0"/>
          <w:sz w:val="28"/>
          <w:szCs w:val="28"/>
        </w:rPr>
        <w:t>贵单位</w:t>
      </w:r>
      <w:r>
        <w:rPr>
          <w:rFonts w:hint="eastAsia" w:asciiTheme="majorEastAsia" w:hAnsiTheme="majorEastAsia" w:eastAsiaTheme="majorEastAsia"/>
          <w:spacing w:val="8"/>
          <w:kern w:val="0"/>
          <w:sz w:val="28"/>
          <w:szCs w:val="28"/>
        </w:rPr>
        <w:t>组织的</w:t>
      </w:r>
      <w:r>
        <w:rPr>
          <w:rFonts w:hint="eastAsia" w:cs="宋体" w:asciiTheme="majorEastAsia" w:hAnsiTheme="majorEastAsia" w:eastAsiaTheme="majorEastAsia"/>
          <w:kern w:val="0"/>
          <w:sz w:val="28"/>
          <w:szCs w:val="28"/>
        </w:rPr>
        <w:t>（项目名称</w:t>
      </w:r>
      <w:r>
        <w:rPr>
          <w:rFonts w:hint="eastAsia" w:cs="宋体" w:asciiTheme="majorEastAsia" w:hAnsiTheme="majorEastAsia" w:eastAsiaTheme="majorEastAsia"/>
          <w:spacing w:val="8"/>
          <w:kern w:val="0"/>
          <w:sz w:val="28"/>
          <w:szCs w:val="28"/>
        </w:rPr>
        <w:t>及编号</w:t>
      </w:r>
      <w:r>
        <w:rPr>
          <w:rFonts w:hint="eastAsia" w:cs="宋体" w:asciiTheme="majorEastAsia" w:hAnsiTheme="majorEastAsia" w:eastAsiaTheme="majorEastAsia"/>
          <w:kern w:val="0"/>
          <w:sz w:val="28"/>
          <w:szCs w:val="28"/>
        </w:rPr>
        <w:t>）的投标，我单位</w:t>
      </w:r>
      <w:r>
        <w:rPr>
          <w:rFonts w:asciiTheme="majorEastAsia" w:hAnsiTheme="majorEastAsia" w:eastAsiaTheme="majorEastAsia"/>
          <w:spacing w:val="8"/>
          <w:kern w:val="0"/>
          <w:sz w:val="28"/>
          <w:szCs w:val="28"/>
        </w:rPr>
        <w:t>慎重</w:t>
      </w:r>
      <w:r>
        <w:rPr>
          <w:rFonts w:hint="eastAsia" w:cs="宋体" w:asciiTheme="majorEastAsia" w:hAnsiTheme="majorEastAsia" w:eastAsiaTheme="majorEastAsia"/>
          <w:kern w:val="0"/>
          <w:sz w:val="28"/>
          <w:szCs w:val="28"/>
        </w:rPr>
        <w:t>作出以下承诺：</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1.我单位参与本项目投标，提交的招标文件包括资格审查材料均真实可信。证件及有关附件是真实的，绝无提供虚假材料行为。</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2.我单位参与本项目投标绝无借资质、挂靠行为。</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3.本项目授权代表为本单位正式员工。</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4.我单位遵守国家廉政相关规定，无失信、行贿等不良行为。</w:t>
      </w:r>
    </w:p>
    <w:p>
      <w:pPr>
        <w:widowControl/>
        <w:spacing w:line="360" w:lineRule="auto"/>
        <w:ind w:firstLine="480"/>
        <w:jc w:val="left"/>
        <w:rPr>
          <w:rFonts w:cs="宋体" w:asciiTheme="majorEastAsia" w:hAnsiTheme="majorEastAsia" w:eastAsiaTheme="majorEastAsia"/>
          <w:kern w:val="0"/>
          <w:sz w:val="28"/>
          <w:szCs w:val="28"/>
          <w:lang w:val="en-GB"/>
        </w:rPr>
      </w:pPr>
      <w:r>
        <w:rPr>
          <w:rFonts w:hint="eastAsia" w:cs="宋体" w:asciiTheme="majorEastAsia" w:hAnsiTheme="majorEastAsia" w:eastAsiaTheme="majorEastAsia"/>
          <w:kern w:val="0"/>
          <w:sz w:val="28"/>
          <w:szCs w:val="28"/>
        </w:rPr>
        <w:t>5.</w:t>
      </w:r>
      <w:r>
        <w:rPr>
          <w:rFonts w:hint="eastAsia" w:cs="宋体" w:asciiTheme="majorEastAsia" w:hAnsiTheme="majorEastAsia" w:eastAsiaTheme="majorEastAsia"/>
          <w:kern w:val="0"/>
          <w:sz w:val="28"/>
          <w:szCs w:val="28"/>
          <w:lang w:val="en-GB"/>
        </w:rPr>
        <w:t>我单位</w:t>
      </w:r>
      <w:r>
        <w:rPr>
          <w:rFonts w:hint="eastAsia" w:cs="宋体" w:asciiTheme="majorEastAsia" w:hAnsiTheme="majorEastAsia" w:eastAsiaTheme="majorEastAsia"/>
          <w:kern w:val="0"/>
          <w:sz w:val="28"/>
          <w:szCs w:val="28"/>
        </w:rPr>
        <w:t>参与本项目</w:t>
      </w:r>
      <w:r>
        <w:rPr>
          <w:rFonts w:hint="eastAsia" w:cs="宋体" w:asciiTheme="majorEastAsia" w:hAnsiTheme="majorEastAsia" w:eastAsiaTheme="majorEastAsia"/>
          <w:kern w:val="0"/>
          <w:sz w:val="28"/>
          <w:szCs w:val="28"/>
          <w:lang w:val="en-GB"/>
        </w:rPr>
        <w:t>投标</w:t>
      </w:r>
      <w:r>
        <w:rPr>
          <w:rFonts w:hint="eastAsia" w:cs="宋体" w:asciiTheme="majorEastAsia" w:hAnsiTheme="majorEastAsia" w:eastAsiaTheme="majorEastAsia"/>
          <w:kern w:val="0"/>
          <w:sz w:val="28"/>
          <w:szCs w:val="28"/>
        </w:rPr>
        <w:t>绝无</w:t>
      </w:r>
      <w:r>
        <w:rPr>
          <w:rFonts w:hint="eastAsia" w:cs="宋体" w:asciiTheme="majorEastAsia" w:hAnsiTheme="majorEastAsia" w:eastAsiaTheme="majorEastAsia"/>
          <w:kern w:val="0"/>
          <w:sz w:val="28"/>
          <w:szCs w:val="28"/>
          <w:lang w:val="en-GB"/>
        </w:rPr>
        <w:t>串标、围标等行为。</w:t>
      </w:r>
    </w:p>
    <w:p>
      <w:pPr>
        <w:widowControl/>
        <w:spacing w:line="360" w:lineRule="auto"/>
        <w:ind w:firstLine="480"/>
        <w:jc w:val="left"/>
        <w:rPr>
          <w:rFonts w:cs="宋体" w:asciiTheme="majorEastAsia" w:hAnsiTheme="majorEastAsia" w:eastAsiaTheme="majorEastAsia"/>
          <w:kern w:val="0"/>
          <w:sz w:val="28"/>
          <w:szCs w:val="28"/>
          <w:lang w:val="en-GB"/>
        </w:rPr>
      </w:pPr>
      <w:r>
        <w:rPr>
          <w:rFonts w:hint="eastAsia" w:cs="宋体" w:asciiTheme="majorEastAsia" w:hAnsiTheme="majorEastAsia" w:eastAsiaTheme="majorEastAsia"/>
          <w:kern w:val="0"/>
          <w:sz w:val="28"/>
          <w:szCs w:val="28"/>
        </w:rPr>
        <w:t>6.</w:t>
      </w:r>
      <w:r>
        <w:rPr>
          <w:rFonts w:hint="eastAsia" w:cs="宋体" w:asciiTheme="majorEastAsia" w:hAnsiTheme="majorEastAsia" w:eastAsiaTheme="majorEastAsia"/>
          <w:kern w:val="0"/>
          <w:sz w:val="28"/>
          <w:szCs w:val="28"/>
          <w:lang w:val="en-GB"/>
        </w:rPr>
        <w:t>我单位在参加政府采购活动前三年内，在经营活动中没有重大违法记录。</w:t>
      </w:r>
    </w:p>
    <w:p>
      <w:pPr>
        <w:widowControl/>
        <w:spacing w:line="360" w:lineRule="auto"/>
        <w:ind w:firstLine="480"/>
        <w:jc w:val="left"/>
        <w:rPr>
          <w:rFonts w:asciiTheme="majorEastAsia" w:hAnsiTheme="majorEastAsia" w:eastAsiaTheme="majorEastAsia"/>
          <w:kern w:val="0"/>
          <w:sz w:val="28"/>
        </w:rPr>
      </w:pPr>
      <w:r>
        <w:rPr>
          <w:rFonts w:hint="eastAsia" w:cs="宋体" w:asciiTheme="majorEastAsia" w:hAnsiTheme="majorEastAsia" w:eastAsiaTheme="majorEastAsia"/>
          <w:kern w:val="0"/>
          <w:sz w:val="28"/>
          <w:szCs w:val="28"/>
        </w:rPr>
        <w:t>7.如中标，我单位</w:t>
      </w:r>
      <w:r>
        <w:rPr>
          <w:rFonts w:hint="eastAsia" w:asciiTheme="majorEastAsia" w:hAnsiTheme="majorEastAsia" w:eastAsiaTheme="majorEastAsia"/>
          <w:kern w:val="0"/>
          <w:sz w:val="28"/>
          <w:lang w:val="en-GB"/>
        </w:rPr>
        <w:t>在中标公示结束后</w:t>
      </w:r>
      <w:r>
        <w:rPr>
          <w:rFonts w:hint="eastAsia" w:asciiTheme="majorEastAsia" w:hAnsiTheme="majorEastAsia" w:eastAsiaTheme="majorEastAsia"/>
          <w:kern w:val="0"/>
          <w:sz w:val="28"/>
        </w:rPr>
        <w:t>3天内领取中标通知书。</w:t>
      </w:r>
    </w:p>
    <w:p>
      <w:pPr>
        <w:widowControl/>
        <w:spacing w:line="360" w:lineRule="auto"/>
        <w:ind w:firstLine="480"/>
        <w:jc w:val="left"/>
        <w:rPr>
          <w:rFonts w:cs="宋体" w:asciiTheme="majorEastAsia" w:hAnsiTheme="majorEastAsia" w:eastAsiaTheme="majorEastAsia"/>
          <w:kern w:val="0"/>
          <w:sz w:val="28"/>
          <w:szCs w:val="28"/>
        </w:rPr>
      </w:pPr>
      <w:r>
        <w:rPr>
          <w:rFonts w:hint="eastAsia" w:asciiTheme="majorEastAsia" w:hAnsiTheme="majorEastAsia" w:eastAsiaTheme="majorEastAsia"/>
          <w:kern w:val="0"/>
          <w:sz w:val="28"/>
        </w:rPr>
        <w:t>8.</w:t>
      </w:r>
      <w:r>
        <w:rPr>
          <w:rFonts w:hint="eastAsia" w:cs="宋体" w:asciiTheme="majorEastAsia" w:hAnsiTheme="majorEastAsia" w:eastAsiaTheme="majorEastAsia"/>
          <w:kern w:val="0"/>
          <w:sz w:val="28"/>
          <w:szCs w:val="28"/>
        </w:rPr>
        <w:t>中标后</w:t>
      </w:r>
      <w:r>
        <w:rPr>
          <w:rFonts w:hint="eastAsia" w:cs="宋体" w:asciiTheme="majorEastAsia" w:hAnsiTheme="majorEastAsia" w:eastAsiaTheme="majorEastAsia"/>
          <w:b/>
          <w:kern w:val="0"/>
          <w:sz w:val="28"/>
          <w:szCs w:val="28"/>
        </w:rPr>
        <w:t>，</w:t>
      </w:r>
      <w:r>
        <w:rPr>
          <w:rFonts w:hint="eastAsia" w:cs="宋体" w:asciiTheme="majorEastAsia" w:hAnsiTheme="majorEastAsia" w:eastAsiaTheme="majorEastAsia"/>
          <w:kern w:val="0"/>
          <w:sz w:val="28"/>
          <w:szCs w:val="28"/>
        </w:rPr>
        <w:t>我单位将按照招标文件规定并在</w:t>
      </w:r>
      <w:r>
        <w:rPr>
          <w:rFonts w:hint="eastAsia" w:asciiTheme="majorEastAsia" w:hAnsiTheme="majorEastAsia" w:eastAsiaTheme="majorEastAsia"/>
          <w:kern w:val="0"/>
          <w:sz w:val="28"/>
        </w:rPr>
        <w:t>中标通知书规定的时限内</w:t>
      </w:r>
      <w:r>
        <w:rPr>
          <w:rFonts w:hint="eastAsia" w:cs="宋体" w:asciiTheme="majorEastAsia" w:hAnsiTheme="majorEastAsia" w:eastAsiaTheme="majorEastAsia"/>
          <w:kern w:val="0"/>
          <w:sz w:val="28"/>
          <w:szCs w:val="28"/>
        </w:rPr>
        <w:t>与采购单位签订合同。</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9.如中标，我单位将按照招标文件规定以及招标响应文件中承诺的相关事项向采购人提供完整相关证明材料或配合采购人做好相关工作。</w:t>
      </w:r>
    </w:p>
    <w:p>
      <w:pPr>
        <w:widowControl/>
        <w:spacing w:line="360" w:lineRule="auto"/>
        <w:ind w:firstLine="560" w:firstLineChars="2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若我单位未能兑现以上承诺，愿意放弃本项目中标资格，愿意放弃收回本项目全部投标保证金的权利，愿意被采购人列入政府采购黑名单1-3年，愿意接受采购人和监管部门的其它处罚，并愿意承担因违反上述承诺内容所引发的一切责任与后果。</w:t>
      </w:r>
    </w:p>
    <w:p>
      <w:pPr>
        <w:widowControl/>
        <w:spacing w:line="360" w:lineRule="auto"/>
        <w:ind w:firstLine="3120" w:firstLineChars="13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xml:space="preserve"> 投标人（盖公章）： </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法定代表人或</w:t>
      </w:r>
      <w:r>
        <w:rPr>
          <w:rFonts w:hint="eastAsia" w:asciiTheme="majorEastAsia" w:hAnsiTheme="majorEastAsia" w:eastAsiaTheme="majorEastAsia"/>
          <w:kern w:val="0"/>
          <w:sz w:val="24"/>
          <w:szCs w:val="24"/>
        </w:rPr>
        <w:t>授权代表</w:t>
      </w:r>
      <w:r>
        <w:rPr>
          <w:rFonts w:hint="eastAsia" w:cs="宋体" w:asciiTheme="majorEastAsia" w:hAnsiTheme="majorEastAsia" w:eastAsiaTheme="majorEastAsia"/>
          <w:kern w:val="0"/>
          <w:sz w:val="24"/>
          <w:szCs w:val="24"/>
        </w:rPr>
        <w:t>（签字）：</w:t>
      </w:r>
    </w:p>
    <w:p>
      <w:pPr>
        <w:widowControl/>
        <w:spacing w:line="360" w:lineRule="auto"/>
        <w:ind w:firstLine="6540" w:firstLineChars="2725"/>
        <w:jc w:val="left"/>
        <w:rPr>
          <w:rFonts w:cs="微软雅黑" w:asciiTheme="majorEastAsia" w:hAnsiTheme="majorEastAsia" w:eastAsiaTheme="majorEastAsia"/>
          <w:b/>
          <w:kern w:val="0"/>
          <w:sz w:val="32"/>
          <w:szCs w:val="32"/>
          <w:shd w:val="clear" w:color="auto" w:fill="FFFFFF"/>
        </w:rPr>
      </w:pPr>
      <w:r>
        <w:rPr>
          <w:rFonts w:hint="eastAsia" w:cs="宋体" w:asciiTheme="majorEastAsia" w:hAnsiTheme="majorEastAsia" w:eastAsiaTheme="majorEastAsia"/>
          <w:kern w:val="0"/>
          <w:sz w:val="24"/>
          <w:szCs w:val="24"/>
        </w:rPr>
        <w:t>年月日</w:t>
      </w:r>
      <w:r>
        <w:rPr>
          <w:rFonts w:cs="微软雅黑" w:asciiTheme="majorEastAsia" w:hAnsiTheme="majorEastAsia" w:eastAsiaTheme="majorEastAsia"/>
          <w:b/>
          <w:kern w:val="0"/>
          <w:sz w:val="32"/>
          <w:szCs w:val="32"/>
          <w:shd w:val="clear" w:color="auto" w:fill="FFFFFF"/>
        </w:rPr>
        <w:br w:type="page"/>
      </w:r>
    </w:p>
    <w:p>
      <w:pPr>
        <w:spacing w:line="440" w:lineRule="exact"/>
        <w:ind w:firstLine="723" w:firstLineChars="200"/>
        <w:jc w:val="center"/>
        <w:rPr>
          <w:b/>
          <w:sz w:val="36"/>
          <w:szCs w:val="36"/>
        </w:rPr>
      </w:pPr>
      <w:r>
        <w:rPr>
          <w:rFonts w:hint="eastAsia"/>
          <w:b/>
          <w:sz w:val="36"/>
          <w:szCs w:val="36"/>
        </w:rPr>
        <w:t>报价表</w:t>
      </w:r>
    </w:p>
    <w:p>
      <w:pPr>
        <w:spacing w:line="440" w:lineRule="exact"/>
        <w:ind w:firstLine="480" w:firstLineChars="200"/>
        <w:rPr>
          <w:sz w:val="24"/>
          <w:szCs w:val="24"/>
        </w:rPr>
      </w:pPr>
    </w:p>
    <w:p>
      <w:pPr>
        <w:spacing w:line="440" w:lineRule="exact"/>
        <w:ind w:firstLine="480" w:firstLineChars="200"/>
        <w:rPr>
          <w:sz w:val="24"/>
          <w:szCs w:val="24"/>
        </w:rPr>
      </w:pPr>
      <w:r>
        <w:rPr>
          <w:rFonts w:hint="eastAsia"/>
          <w:sz w:val="24"/>
          <w:szCs w:val="24"/>
        </w:rPr>
        <w:t>项目名称：</w:t>
      </w:r>
    </w:p>
    <w:tbl>
      <w:tblPr>
        <w:tblStyle w:val="54"/>
        <w:tblW w:w="7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720"/>
        <w:gridCol w:w="1290"/>
        <w:gridCol w:w="920"/>
        <w:gridCol w:w="125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559"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名称</w:t>
            </w:r>
          </w:p>
        </w:tc>
        <w:tc>
          <w:tcPr>
            <w:tcW w:w="1720"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规格</w:t>
            </w:r>
          </w:p>
        </w:tc>
        <w:tc>
          <w:tcPr>
            <w:tcW w:w="1290"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品牌</w:t>
            </w:r>
          </w:p>
        </w:tc>
        <w:tc>
          <w:tcPr>
            <w:tcW w:w="920" w:type="dxa"/>
            <w:vAlign w:val="center"/>
          </w:tcPr>
          <w:p>
            <w:pPr>
              <w:spacing w:line="400" w:lineRule="exac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数量</w:t>
            </w:r>
          </w:p>
        </w:tc>
        <w:tc>
          <w:tcPr>
            <w:tcW w:w="1250"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投标单价</w:t>
            </w:r>
          </w:p>
        </w:tc>
        <w:tc>
          <w:tcPr>
            <w:tcW w:w="1090" w:type="dxa"/>
            <w:vAlign w:val="center"/>
          </w:tcPr>
          <w:p>
            <w:pPr>
              <w:spacing w:line="400" w:lineRule="exac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vAlign w:val="center"/>
          </w:tcPr>
          <w:p>
            <w:pPr>
              <w:spacing w:line="400" w:lineRule="exact"/>
              <w:jc w:val="center"/>
              <w:rPr>
                <w:rFonts w:asciiTheme="majorEastAsia" w:hAnsiTheme="majorEastAsia" w:eastAsiaTheme="majorEastAsia" w:cstheme="majorEastAsia"/>
                <w:sz w:val="24"/>
                <w:szCs w:val="24"/>
              </w:rPr>
            </w:pPr>
          </w:p>
        </w:tc>
        <w:tc>
          <w:tcPr>
            <w:tcW w:w="1250" w:type="dxa"/>
            <w:vAlign w:val="center"/>
          </w:tcPr>
          <w:p>
            <w:pPr>
              <w:spacing w:line="400" w:lineRule="exact"/>
              <w:jc w:val="center"/>
              <w:rPr>
                <w:rFonts w:asciiTheme="majorEastAsia" w:hAnsiTheme="majorEastAsia" w:eastAsiaTheme="majorEastAsia" w:cstheme="majorEastAsia"/>
                <w:sz w:val="24"/>
                <w:szCs w:val="24"/>
              </w:rPr>
            </w:pPr>
          </w:p>
        </w:tc>
        <w:tc>
          <w:tcPr>
            <w:tcW w:w="1090" w:type="dxa"/>
            <w:vAlign w:val="center"/>
          </w:tcPr>
          <w:p>
            <w:pPr>
              <w:spacing w:line="400" w:lineRule="exact"/>
              <w:jc w:val="center"/>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tcPr>
          <w:p>
            <w:pPr>
              <w:spacing w:line="400" w:lineRule="exact"/>
              <w:jc w:val="center"/>
              <w:rPr>
                <w:rFonts w:asciiTheme="majorEastAsia" w:hAnsiTheme="majorEastAsia" w:eastAsiaTheme="majorEastAsia" w:cstheme="majorEastAsia"/>
                <w:sz w:val="24"/>
                <w:szCs w:val="24"/>
              </w:rPr>
            </w:pPr>
          </w:p>
        </w:tc>
        <w:tc>
          <w:tcPr>
            <w:tcW w:w="1250" w:type="dxa"/>
          </w:tcPr>
          <w:p>
            <w:pPr>
              <w:spacing w:line="400" w:lineRule="exact"/>
              <w:jc w:val="center"/>
              <w:rPr>
                <w:rFonts w:asciiTheme="majorEastAsia" w:hAnsiTheme="majorEastAsia" w:eastAsiaTheme="majorEastAsia" w:cstheme="majorEastAsia"/>
                <w:sz w:val="24"/>
                <w:szCs w:val="24"/>
              </w:rPr>
            </w:pPr>
          </w:p>
        </w:tc>
        <w:tc>
          <w:tcPr>
            <w:tcW w:w="1090" w:type="dxa"/>
          </w:tcPr>
          <w:p>
            <w:pPr>
              <w:spacing w:line="400" w:lineRule="exact"/>
              <w:jc w:val="center"/>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tcPr>
          <w:p>
            <w:pPr>
              <w:spacing w:line="400" w:lineRule="exact"/>
              <w:jc w:val="center"/>
              <w:rPr>
                <w:rFonts w:asciiTheme="majorEastAsia" w:hAnsiTheme="majorEastAsia" w:eastAsiaTheme="majorEastAsia" w:cstheme="majorEastAsia"/>
                <w:sz w:val="24"/>
                <w:szCs w:val="24"/>
              </w:rPr>
            </w:pPr>
          </w:p>
        </w:tc>
        <w:tc>
          <w:tcPr>
            <w:tcW w:w="1250" w:type="dxa"/>
          </w:tcPr>
          <w:p>
            <w:pPr>
              <w:spacing w:line="400" w:lineRule="exact"/>
              <w:jc w:val="center"/>
              <w:rPr>
                <w:rFonts w:asciiTheme="majorEastAsia" w:hAnsiTheme="majorEastAsia" w:eastAsiaTheme="majorEastAsia" w:cstheme="majorEastAsia"/>
                <w:sz w:val="24"/>
                <w:szCs w:val="24"/>
              </w:rPr>
            </w:pPr>
          </w:p>
        </w:tc>
        <w:tc>
          <w:tcPr>
            <w:tcW w:w="1090" w:type="dxa"/>
          </w:tcPr>
          <w:p>
            <w:pPr>
              <w:spacing w:line="400" w:lineRule="exact"/>
              <w:jc w:val="center"/>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tcPr>
          <w:p>
            <w:pPr>
              <w:spacing w:line="400" w:lineRule="exact"/>
              <w:jc w:val="center"/>
              <w:rPr>
                <w:rFonts w:asciiTheme="majorEastAsia" w:hAnsiTheme="majorEastAsia" w:eastAsiaTheme="majorEastAsia" w:cstheme="majorEastAsia"/>
                <w:sz w:val="24"/>
                <w:szCs w:val="24"/>
              </w:rPr>
            </w:pPr>
          </w:p>
        </w:tc>
        <w:tc>
          <w:tcPr>
            <w:tcW w:w="1250" w:type="dxa"/>
          </w:tcPr>
          <w:p>
            <w:pPr>
              <w:spacing w:line="400" w:lineRule="exact"/>
              <w:jc w:val="center"/>
              <w:rPr>
                <w:rFonts w:asciiTheme="majorEastAsia" w:hAnsiTheme="majorEastAsia" w:eastAsiaTheme="majorEastAsia" w:cstheme="majorEastAsia"/>
                <w:sz w:val="24"/>
                <w:szCs w:val="24"/>
              </w:rPr>
            </w:pPr>
          </w:p>
        </w:tc>
        <w:tc>
          <w:tcPr>
            <w:tcW w:w="1090" w:type="dxa"/>
          </w:tcPr>
          <w:p>
            <w:pPr>
              <w:spacing w:line="400" w:lineRule="exact"/>
              <w:jc w:val="center"/>
              <w:rPr>
                <w:rFonts w:asciiTheme="majorEastAsia" w:hAnsiTheme="majorEastAsia" w:eastAsiaTheme="majorEastAsia" w:cstheme="majorEastAsia"/>
                <w:sz w:val="24"/>
                <w:szCs w:val="24"/>
              </w:rPr>
            </w:pPr>
          </w:p>
        </w:tc>
      </w:tr>
    </w:tbl>
    <w:p>
      <w:pPr>
        <w:spacing w:line="360" w:lineRule="auto"/>
        <w:ind w:firstLine="420" w:firstLineChars="200"/>
      </w:pPr>
    </w:p>
    <w:p>
      <w:pPr>
        <w:snapToGrid w:val="0"/>
        <w:spacing w:line="300" w:lineRule="auto"/>
        <w:ind w:firstLine="540" w:firstLineChars="192"/>
        <w:contextualSpacing/>
        <w:rPr>
          <w:rFonts w:cs="宋体" w:asciiTheme="majorEastAsia" w:hAnsiTheme="majorEastAsia" w:eastAsiaTheme="majorEastAsia"/>
          <w:b/>
          <w:kern w:val="0"/>
          <w:sz w:val="28"/>
          <w:szCs w:val="28"/>
          <w:lang w:val="zh-CN"/>
        </w:rPr>
      </w:pPr>
      <w:r>
        <w:rPr>
          <w:rFonts w:hint="eastAsia" w:cs="宋体" w:asciiTheme="majorEastAsia" w:hAnsiTheme="majorEastAsia" w:eastAsiaTheme="majorEastAsia"/>
          <w:b/>
          <w:kern w:val="0"/>
          <w:sz w:val="28"/>
          <w:szCs w:val="28"/>
          <w:lang w:val="zh-CN"/>
        </w:rPr>
        <w:t>注：投标人必须详细报出采购项目名称、品牌、规格型号、数量、单价。且投标报价表报价</w:t>
      </w:r>
      <w:r>
        <w:rPr>
          <w:rFonts w:hint="eastAsia" w:cs="宋体" w:asciiTheme="majorEastAsia" w:hAnsiTheme="majorEastAsia" w:eastAsiaTheme="majorEastAsia"/>
          <w:b/>
          <w:kern w:val="0"/>
          <w:sz w:val="28"/>
          <w:szCs w:val="28"/>
        </w:rPr>
        <w:t>与投标函报价</w:t>
      </w:r>
      <w:r>
        <w:rPr>
          <w:rFonts w:hint="eastAsia" w:cs="宋体" w:asciiTheme="majorEastAsia" w:hAnsiTheme="majorEastAsia" w:eastAsiaTheme="majorEastAsia"/>
          <w:b/>
          <w:kern w:val="0"/>
          <w:sz w:val="28"/>
          <w:szCs w:val="28"/>
          <w:lang w:val="zh-CN"/>
        </w:rPr>
        <w:t>相等。供应商务必按照要求填报，否则作为无效投标处理。</w:t>
      </w:r>
    </w:p>
    <w:p>
      <w:pPr>
        <w:widowControl/>
        <w:spacing w:line="360" w:lineRule="auto"/>
        <w:jc w:val="left"/>
        <w:rPr>
          <w:rFonts w:ascii="仿宋" w:hAnsi="仿宋" w:eastAsia="仿宋" w:cs="Arial"/>
          <w:kern w:val="0"/>
          <w:sz w:val="24"/>
          <w:szCs w:val="24"/>
        </w:rPr>
      </w:pPr>
    </w:p>
    <w:p>
      <w:pPr>
        <w:widowControl/>
        <w:spacing w:line="360" w:lineRule="auto"/>
        <w:jc w:val="left"/>
        <w:rPr>
          <w:rFonts w:ascii="仿宋" w:hAnsi="仿宋" w:eastAsia="仿宋" w:cs="Arial"/>
          <w:kern w:val="0"/>
          <w:sz w:val="24"/>
          <w:szCs w:val="24"/>
        </w:rPr>
      </w:pPr>
    </w:p>
    <w:p>
      <w:pPr>
        <w:widowControl/>
        <w:spacing w:line="360" w:lineRule="auto"/>
        <w:jc w:val="left"/>
        <w:rPr>
          <w:rFonts w:ascii="仿宋" w:hAnsi="仿宋" w:eastAsia="仿宋" w:cs="Arial"/>
          <w:b/>
          <w:kern w:val="0"/>
          <w:sz w:val="24"/>
          <w:szCs w:val="24"/>
        </w:rPr>
      </w:pPr>
      <w:r>
        <w:rPr>
          <w:rFonts w:hint="eastAsia" w:ascii="仿宋" w:hAnsi="仿宋" w:eastAsia="仿宋" w:cs="Arial"/>
          <w:b/>
          <w:kern w:val="0"/>
          <w:sz w:val="24"/>
          <w:szCs w:val="24"/>
        </w:rPr>
        <w:t>投标人：（盖单位公章）</w:t>
      </w:r>
    </w:p>
    <w:p>
      <w:pPr>
        <w:widowControl/>
        <w:spacing w:line="360" w:lineRule="auto"/>
        <w:jc w:val="left"/>
        <w:rPr>
          <w:rFonts w:ascii="仿宋" w:hAnsi="仿宋" w:eastAsia="仿宋" w:cs="Arial"/>
          <w:kern w:val="0"/>
          <w:sz w:val="24"/>
          <w:szCs w:val="24"/>
        </w:rPr>
      </w:pPr>
    </w:p>
    <w:p>
      <w:pPr>
        <w:widowControl/>
        <w:spacing w:line="360" w:lineRule="auto"/>
        <w:jc w:val="left"/>
        <w:rPr>
          <w:rFonts w:ascii="仿宋" w:hAnsi="仿宋" w:eastAsia="仿宋" w:cs="Arial"/>
          <w:b/>
          <w:kern w:val="0"/>
          <w:sz w:val="24"/>
          <w:szCs w:val="24"/>
        </w:rPr>
      </w:pPr>
      <w:r>
        <w:rPr>
          <w:rFonts w:hint="eastAsia" w:ascii="仿宋" w:hAnsi="仿宋" w:eastAsia="仿宋" w:cs="Arial"/>
          <w:b/>
          <w:kern w:val="0"/>
          <w:sz w:val="24"/>
          <w:szCs w:val="24"/>
        </w:rPr>
        <w:t>投标人法定代表人</w:t>
      </w:r>
    </w:p>
    <w:p>
      <w:pPr>
        <w:widowControl/>
        <w:spacing w:line="360" w:lineRule="auto"/>
        <w:jc w:val="left"/>
        <w:rPr>
          <w:rFonts w:ascii="仿宋" w:hAnsi="仿宋" w:eastAsia="仿宋" w:cs="Arial"/>
          <w:b/>
          <w:kern w:val="0"/>
          <w:sz w:val="24"/>
          <w:szCs w:val="24"/>
        </w:rPr>
      </w:pPr>
      <w:r>
        <w:rPr>
          <w:rFonts w:hint="eastAsia" w:ascii="仿宋" w:hAnsi="仿宋" w:eastAsia="仿宋" w:cs="Arial"/>
          <w:b/>
          <w:kern w:val="0"/>
          <w:sz w:val="24"/>
          <w:szCs w:val="24"/>
        </w:rPr>
        <w:t>或其授权代理人：（签字）</w:t>
      </w:r>
    </w:p>
    <w:p>
      <w:pPr>
        <w:widowControl/>
        <w:spacing w:line="360" w:lineRule="auto"/>
        <w:jc w:val="left"/>
        <w:rPr>
          <w:rFonts w:ascii="仿宋" w:hAnsi="仿宋" w:eastAsia="仿宋" w:cs="Arial"/>
          <w:kern w:val="0"/>
          <w:sz w:val="24"/>
          <w:szCs w:val="24"/>
        </w:rPr>
      </w:pPr>
    </w:p>
    <w:p>
      <w:r>
        <w:rPr>
          <w:rFonts w:hint="eastAsia" w:ascii="仿宋" w:hAnsi="仿宋" w:eastAsia="仿宋" w:cs="Arial"/>
          <w:b/>
          <w:kern w:val="0"/>
          <w:sz w:val="24"/>
          <w:szCs w:val="24"/>
        </w:rPr>
        <w:t>日期：2021年月日</w:t>
      </w:r>
    </w:p>
    <w:p>
      <w:pPr>
        <w:snapToGrid w:val="0"/>
        <w:spacing w:line="300" w:lineRule="auto"/>
        <w:ind w:firstLine="540" w:firstLineChars="192"/>
        <w:contextualSpacing/>
        <w:rPr>
          <w:rFonts w:cs="宋体" w:asciiTheme="majorEastAsia" w:hAnsiTheme="majorEastAsia" w:eastAsiaTheme="majorEastAsia"/>
          <w:b/>
          <w:kern w:val="0"/>
          <w:sz w:val="28"/>
          <w:szCs w:val="28"/>
          <w:lang w:val="zh-CN"/>
        </w:rPr>
      </w:pPr>
    </w:p>
    <w:bookmarkEnd w:id="160"/>
    <w:bookmarkEnd w:id="161"/>
    <w:bookmarkEnd w:id="281"/>
    <w:p>
      <w:pPr>
        <w:rPr>
          <w:rFonts w:ascii="宋体" w:hAnsi="宋体" w:cs="宋体"/>
          <w:b/>
          <w:bCs/>
          <w:color w:val="000000"/>
          <w:sz w:val="30"/>
          <w:szCs w:val="30"/>
        </w:rPr>
      </w:pPr>
      <w:r>
        <w:rPr>
          <w:rFonts w:ascii="宋体" w:hAnsi="宋体" w:cs="宋体"/>
          <w:b/>
          <w:bCs/>
          <w:color w:val="000000"/>
          <w:sz w:val="30"/>
          <w:szCs w:val="30"/>
        </w:rPr>
        <w:br w:type="page"/>
      </w:r>
    </w:p>
    <w:p>
      <w:pPr>
        <w:adjustRightInd w:val="0"/>
        <w:spacing w:line="420" w:lineRule="exact"/>
        <w:jc w:val="center"/>
        <w:textAlignment w:val="baseline"/>
        <w:rPr>
          <w:rFonts w:ascii="宋体" w:hAnsi="宋体" w:cs="宋体"/>
          <w:b/>
          <w:bCs/>
          <w:sz w:val="36"/>
          <w:szCs w:val="36"/>
        </w:rPr>
      </w:pPr>
      <w:r>
        <w:rPr>
          <w:rFonts w:hint="eastAsia" w:ascii="宋体" w:hAnsi="宋体" w:cs="宋体"/>
          <w:b/>
          <w:bCs/>
          <w:sz w:val="36"/>
          <w:szCs w:val="36"/>
        </w:rPr>
        <w:t>报价函</w:t>
      </w:r>
    </w:p>
    <w:p>
      <w:pPr>
        <w:adjustRightInd w:val="0"/>
        <w:spacing w:line="420" w:lineRule="exact"/>
        <w:jc w:val="left"/>
        <w:textAlignment w:val="baseline"/>
        <w:rPr>
          <w:rFonts w:ascii="宋体" w:hAnsi="宋体" w:cs="宋体"/>
          <w:sz w:val="24"/>
          <w:szCs w:val="24"/>
        </w:rPr>
      </w:pPr>
    </w:p>
    <w:p>
      <w:pPr>
        <w:adjustRightInd w:val="0"/>
        <w:spacing w:line="420" w:lineRule="exact"/>
        <w:jc w:val="left"/>
        <w:textAlignment w:val="baseline"/>
        <w:rPr>
          <w:rFonts w:ascii="宋体" w:hAnsi="宋体"/>
          <w:sz w:val="24"/>
          <w:szCs w:val="24"/>
        </w:rPr>
      </w:pPr>
      <w:r>
        <w:rPr>
          <w:rFonts w:hint="eastAsia" w:ascii="宋体" w:hAnsi="宋体" w:cs="宋体"/>
          <w:sz w:val="24"/>
          <w:szCs w:val="24"/>
        </w:rPr>
        <w:t>致：（采购人）</w:t>
      </w:r>
    </w:p>
    <w:p>
      <w:pPr>
        <w:spacing w:line="360" w:lineRule="auto"/>
        <w:ind w:firstLine="480" w:firstLineChars="200"/>
        <w:rPr>
          <w:rFonts w:ascii="宋体" w:hAnsi="宋体"/>
          <w:sz w:val="24"/>
          <w:szCs w:val="24"/>
        </w:rPr>
      </w:pPr>
      <w:bookmarkStart w:id="284" w:name="_Hlt26671372"/>
      <w:bookmarkEnd w:id="284"/>
      <w:bookmarkStart w:id="285" w:name="_Hlt26671343"/>
      <w:bookmarkEnd w:id="285"/>
      <w:bookmarkStart w:id="286" w:name="_Hlt26782999"/>
      <w:bookmarkEnd w:id="286"/>
      <w:bookmarkStart w:id="287" w:name="_Hlt26955064"/>
      <w:bookmarkEnd w:id="287"/>
      <w:bookmarkStart w:id="288" w:name="_Hlt26609391"/>
      <w:bookmarkEnd w:id="288"/>
      <w:bookmarkStart w:id="289" w:name="_Hlt26580838"/>
      <w:bookmarkEnd w:id="289"/>
      <w:bookmarkStart w:id="290" w:name="_Hlt26955056"/>
      <w:bookmarkEnd w:id="290"/>
      <w:bookmarkStart w:id="291" w:name="_Hlt24879081"/>
      <w:bookmarkEnd w:id="291"/>
      <w:r>
        <w:rPr>
          <w:rFonts w:hint="eastAsia" w:ascii="宋体" w:hAnsi="宋体" w:cs="宋体"/>
          <w:sz w:val="24"/>
          <w:szCs w:val="24"/>
        </w:rPr>
        <w:t>依据贵单位 项目公开招标的采购文件，我方授权</w:t>
      </w:r>
      <w:r>
        <w:rPr>
          <w:rFonts w:hint="eastAsia" w:ascii="宋体" w:hAnsi="宋体" w:cs="宋体"/>
          <w:sz w:val="24"/>
          <w:szCs w:val="24"/>
          <w:u w:val="single"/>
        </w:rPr>
        <w:t>（姓名）（职务）</w:t>
      </w:r>
      <w:r>
        <w:rPr>
          <w:rFonts w:hint="eastAsia" w:ascii="宋体" w:hAnsi="宋体" w:cs="宋体"/>
          <w:sz w:val="24"/>
          <w:szCs w:val="24"/>
        </w:rPr>
        <w:t>为全权代表参加该项目的投标，全权处理本次投标的有关事宜。同时，我公司声明如下：</w:t>
      </w:r>
    </w:p>
    <w:p>
      <w:pPr>
        <w:adjustRightInd w:val="0"/>
        <w:snapToGrid w:val="0"/>
        <w:spacing w:line="360" w:lineRule="auto"/>
        <w:ind w:firstLine="480" w:firstLineChars="200"/>
        <w:jc w:val="left"/>
        <w:rPr>
          <w:rFonts w:ascii="宋体" w:hAnsi="宋体" w:cs="宋体"/>
          <w:sz w:val="24"/>
          <w:szCs w:val="22"/>
          <w:u w:val="single"/>
        </w:rPr>
      </w:pPr>
      <w:r>
        <w:rPr>
          <w:rFonts w:ascii="宋体" w:hAnsi="宋体" w:cs="宋体"/>
          <w:sz w:val="24"/>
          <w:szCs w:val="24"/>
        </w:rPr>
        <w:t>1</w:t>
      </w:r>
      <w:r>
        <w:rPr>
          <w:rFonts w:hint="eastAsia" w:ascii="宋体" w:hAnsi="宋体" w:cs="宋体"/>
          <w:sz w:val="24"/>
          <w:szCs w:val="24"/>
        </w:rPr>
        <w:t>、我单位经考察现场和研究招标文件后，</w:t>
      </w:r>
      <w:r>
        <w:rPr>
          <w:rFonts w:hint="eastAsia" w:ascii="宋体" w:hAnsi="宋体" w:cs="宋体"/>
          <w:sz w:val="24"/>
          <w:szCs w:val="22"/>
        </w:rPr>
        <w:t>我方愿意以人民币</w:t>
      </w:r>
      <w:r>
        <w:rPr>
          <w:rFonts w:hint="eastAsia" w:ascii="宋体" w:hAnsi="宋体" w:cs="宋体"/>
          <w:sz w:val="24"/>
          <w:szCs w:val="22"/>
          <w:u w:val="single"/>
        </w:rPr>
        <w:t>（大写）（小写）</w:t>
      </w:r>
      <w:r>
        <w:rPr>
          <w:rFonts w:hint="eastAsia" w:ascii="宋体" w:hAnsi="宋体" w:cs="宋体"/>
          <w:sz w:val="24"/>
          <w:szCs w:val="22"/>
        </w:rPr>
        <w:t>的总价承担本项目内服务内容。</w:t>
      </w:r>
    </w:p>
    <w:p>
      <w:pPr>
        <w:spacing w:line="360" w:lineRule="auto"/>
        <w:ind w:firstLine="480" w:firstLineChars="200"/>
        <w:rPr>
          <w:rFonts w:ascii="宋体" w:hAnsi="宋体"/>
          <w:sz w:val="24"/>
          <w:szCs w:val="24"/>
        </w:rPr>
      </w:pPr>
      <w:r>
        <w:rPr>
          <w:rFonts w:hint="eastAsia" w:ascii="宋体" w:hAnsi="宋体" w:cs="宋体"/>
          <w:sz w:val="24"/>
          <w:szCs w:val="24"/>
        </w:rPr>
        <w:t>2、同意并接受招标文件的各项要求，遵守招标文件中的各项规定，按招标文件的要求提供报价。</w:t>
      </w:r>
    </w:p>
    <w:p>
      <w:pPr>
        <w:spacing w:line="360" w:lineRule="auto"/>
        <w:ind w:firstLine="480" w:firstLineChars="200"/>
        <w:rPr>
          <w:rFonts w:ascii="宋体" w:hAnsi="宋体"/>
          <w:sz w:val="24"/>
          <w:szCs w:val="24"/>
        </w:rPr>
      </w:pPr>
      <w:r>
        <w:rPr>
          <w:rFonts w:hint="eastAsia" w:ascii="宋体" w:hAnsi="宋体" w:cs="宋体"/>
          <w:sz w:val="24"/>
          <w:szCs w:val="24"/>
        </w:rPr>
        <w:t>3、我公司已经详细阅读了全部招标文件及其附件，我方已完全清晰理解招标文件的要求，不存在任何含糊不清和误解之处，同意放弃对这些文件所提出的异议和质疑的权利。</w:t>
      </w:r>
    </w:p>
    <w:p>
      <w:pPr>
        <w:spacing w:line="360" w:lineRule="auto"/>
        <w:ind w:firstLine="480" w:firstLineChars="200"/>
        <w:rPr>
          <w:rFonts w:ascii="宋体" w:hAnsi="宋体"/>
          <w:sz w:val="24"/>
          <w:szCs w:val="24"/>
        </w:rPr>
      </w:pPr>
      <w:r>
        <w:rPr>
          <w:rFonts w:hint="eastAsia" w:ascii="宋体" w:hAnsi="宋体" w:cs="宋体"/>
          <w:sz w:val="24"/>
          <w:szCs w:val="24"/>
        </w:rPr>
        <w:t>4、我公司已毫无保留地向贵方提供一切所需的证明材料。</w:t>
      </w:r>
    </w:p>
    <w:p>
      <w:pPr>
        <w:spacing w:line="360" w:lineRule="auto"/>
        <w:ind w:firstLine="480" w:firstLineChars="200"/>
        <w:rPr>
          <w:rFonts w:ascii="宋体" w:hAnsi="宋体"/>
          <w:sz w:val="24"/>
          <w:szCs w:val="24"/>
        </w:rPr>
      </w:pPr>
      <w:r>
        <w:rPr>
          <w:rFonts w:hint="eastAsia" w:ascii="宋体" w:hAnsi="宋体" w:cs="宋体"/>
          <w:sz w:val="24"/>
          <w:szCs w:val="24"/>
        </w:rPr>
        <w:t>5、我公司承诺在本次招标响应中提供的一切文件，无论是原件还是复印件均真实有效，绝无任何虚假、伪造和夸大的成份。否则，愿承担相应的后果和法律责任。</w:t>
      </w:r>
    </w:p>
    <w:p>
      <w:pPr>
        <w:spacing w:line="360" w:lineRule="auto"/>
        <w:ind w:firstLine="480" w:firstLineChars="200"/>
        <w:rPr>
          <w:rFonts w:ascii="宋体" w:hAnsi="宋体"/>
          <w:sz w:val="24"/>
          <w:szCs w:val="24"/>
        </w:rPr>
      </w:pPr>
      <w:r>
        <w:rPr>
          <w:rFonts w:hint="eastAsia" w:ascii="宋体" w:hAnsi="宋体" w:cs="宋体"/>
          <w:sz w:val="24"/>
          <w:szCs w:val="24"/>
        </w:rPr>
        <w:t>6、一旦我方中标</w:t>
      </w:r>
      <w:r>
        <w:rPr>
          <w:rFonts w:ascii="宋体" w:hAnsi="宋体" w:cs="宋体"/>
          <w:sz w:val="24"/>
          <w:szCs w:val="24"/>
        </w:rPr>
        <w:t>,</w:t>
      </w:r>
      <w:r>
        <w:rPr>
          <w:rFonts w:hint="eastAsia" w:ascii="宋体" w:hAnsi="宋体" w:cs="宋体"/>
          <w:sz w:val="24"/>
          <w:szCs w:val="24"/>
        </w:rPr>
        <w:t>我方将根据招标文件的要求和投标响应文件的承诺签订合同，严格履行合同的责任和义务</w:t>
      </w:r>
      <w:r>
        <w:rPr>
          <w:rFonts w:ascii="宋体" w:hAnsi="宋体" w:cs="宋体"/>
          <w:sz w:val="24"/>
          <w:szCs w:val="24"/>
        </w:rPr>
        <w:t>,</w:t>
      </w:r>
      <w:r>
        <w:rPr>
          <w:rFonts w:hint="eastAsia" w:ascii="宋体" w:hAnsi="宋体" w:cs="宋体"/>
          <w:sz w:val="24"/>
          <w:szCs w:val="24"/>
        </w:rPr>
        <w:t>并保证在采购文件规定的时间完成任务，交付采购人验收。</w:t>
      </w:r>
    </w:p>
    <w:p>
      <w:pPr>
        <w:spacing w:line="460" w:lineRule="exact"/>
        <w:ind w:firstLine="1920" w:firstLineChars="800"/>
        <w:rPr>
          <w:rFonts w:ascii="宋体" w:hAnsi="宋体"/>
          <w:sz w:val="24"/>
          <w:szCs w:val="24"/>
        </w:rPr>
      </w:pPr>
      <w:r>
        <w:rPr>
          <w:rFonts w:hint="eastAsia" w:ascii="宋体" w:hAnsi="宋体" w:cs="宋体"/>
          <w:sz w:val="24"/>
          <w:szCs w:val="24"/>
        </w:rPr>
        <w:t>投标人：（加盖公章）</w:t>
      </w:r>
    </w:p>
    <w:p>
      <w:pPr>
        <w:spacing w:line="460" w:lineRule="exact"/>
        <w:ind w:firstLine="1920" w:firstLineChars="800"/>
        <w:rPr>
          <w:rFonts w:ascii="宋体" w:hAnsi="宋体"/>
          <w:sz w:val="24"/>
          <w:szCs w:val="24"/>
        </w:rPr>
      </w:pPr>
      <w:r>
        <w:rPr>
          <w:rFonts w:hint="eastAsia" w:ascii="宋体" w:hAnsi="宋体" w:cs="宋体"/>
          <w:sz w:val="24"/>
          <w:szCs w:val="24"/>
        </w:rPr>
        <w:t>法定代表人或其授权人：（签字或盖章）</w:t>
      </w:r>
    </w:p>
    <w:p>
      <w:pPr>
        <w:ind w:firstLine="2400" w:firstLineChars="1000"/>
        <w:rPr>
          <w:b/>
          <w:sz w:val="44"/>
          <w:szCs w:val="44"/>
        </w:rPr>
      </w:pPr>
      <w:r>
        <w:rPr>
          <w:rFonts w:hint="eastAsia" w:ascii="宋体" w:hAnsi="宋体" w:cs="宋体"/>
          <w:sz w:val="24"/>
          <w:szCs w:val="24"/>
        </w:rPr>
        <w:t>年月日</w:t>
      </w:r>
      <w:bookmarkStart w:id="292" w:name="_格式2__法定代表人授权书"/>
      <w:bookmarkEnd w:id="292"/>
      <w:bookmarkStart w:id="293" w:name="_Hlt26671374"/>
      <w:bookmarkEnd w:id="293"/>
      <w:bookmarkStart w:id="294" w:name="_Hlt26609389"/>
      <w:bookmarkEnd w:id="294"/>
      <w:bookmarkStart w:id="295" w:name="_Hlt26955066"/>
      <w:bookmarkEnd w:id="295"/>
    </w:p>
    <w:p>
      <w:pPr>
        <w:spacing w:line="360" w:lineRule="auto"/>
        <w:ind w:firstLine="480" w:firstLineChars="200"/>
        <w:rPr>
          <w:rFonts w:cs="宋体" w:asciiTheme="majorEastAsia" w:hAnsiTheme="majorEastAsia" w:eastAsiaTheme="majorEastAsia"/>
          <w:kern w:val="0"/>
          <w:sz w:val="24"/>
        </w:rPr>
      </w:pPr>
    </w:p>
    <w:sectPr>
      <w:pgSz w:w="11906" w:h="16838"/>
      <w:pgMar w:top="1418" w:right="1588" w:bottom="1418" w:left="1365" w:header="851" w:footer="907" w:gutter="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useo Sans For Dell">
    <w:altName w:val="宋体"/>
    <w:panose1 w:val="00000000000000000000"/>
    <w:charset w:val="86"/>
    <w:family w:val="roma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4020202020204"/>
    <w:charset w:val="00"/>
    <w:family w:val="swiss"/>
    <w:pitch w:val="default"/>
    <w:sig w:usb0="00000000" w:usb1="00000000" w:usb2="00000000" w:usb3="00000000" w:csb0="00000001" w:csb1="00000000"/>
  </w:font>
  <w:font w:name="方正黑体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auto"/>
    <w:pitch w:val="default"/>
    <w:sig w:usb0="00000000" w:usb1="00000000" w:usb2="00000000" w:usb3="00000000" w:csb0="00040001" w:csb1="00000000"/>
  </w:font>
  <w:font w:name="文鼎粗黑">
    <w:altName w:val="黑体"/>
    <w:panose1 w:val="00000000000000000000"/>
    <w:charset w:val="86"/>
    <w:family w:val="modern"/>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Beijing">
    <w:altName w:val="Arial"/>
    <w:panose1 w:val="00000000000000000000"/>
    <w:charset w:val="50"/>
    <w:family w:val="auto"/>
    <w:pitch w:val="default"/>
    <w:sig w:usb0="00000000" w:usb1="00000000" w:usb2="00000000" w:usb3="00000000" w:csb0="00000000"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separate"/>
    </w:r>
    <w:r>
      <w:rPr>
        <w:rStyle w:val="57"/>
      </w:rPr>
      <w:t>1</w:t>
    </w:r>
    <w: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ascii="宋体" w:hAnsi="宋体"/>
        <w:sz w:val="21"/>
        <w:szCs w:val="21"/>
      </w:rPr>
    </w:pPr>
    <w:r>
      <w:rPr>
        <w:sz w:val="21"/>
      </w:rPr>
      <w:pict>
        <v:shape id="_x0000_s2053" o:spid="_x0000_s205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16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ascii="宋体" w:hAnsi="宋体"/>
        <w:sz w:val="21"/>
        <w:szCs w:val="21"/>
      </w:rPr>
    </w:pPr>
    <w:r>
      <w:rPr>
        <w:sz w:val="21"/>
      </w:rP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28</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rFonts w:ascii="宋体" w:hAnsi="宋体"/>
        <w:sz w:val="21"/>
        <w:szCs w:val="21"/>
      </w:rPr>
    </w:pPr>
    <w:r>
      <w:rPr>
        <w:sz w:val="21"/>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37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b/>
        <w:i/>
      </w:rPr>
    </w:pPr>
    <w:r>
      <w:pict>
        <v:shape id="_x0000_s2049" o:spid="_x0000_s204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48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_x0000_s2050" o:spid="_x0000_s205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49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249"/>
      <w:lvlText w:val="附录%1."/>
      <w:lvlJc w:val="left"/>
      <w:pPr>
        <w:tabs>
          <w:tab w:val="left" w:pos="907"/>
        </w:tabs>
        <w:ind w:left="907" w:hanging="907"/>
      </w:pPr>
      <w:rPr>
        <w:rFonts w:hint="eastAsia"/>
      </w:rPr>
    </w:lvl>
  </w:abstractNum>
  <w:abstractNum w:abstractNumId="1">
    <w:nsid w:val="12D367CD"/>
    <w:multiLevelType w:val="multilevel"/>
    <w:tmpl w:val="12D367CD"/>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174453F0"/>
    <w:multiLevelType w:val="multilevel"/>
    <w:tmpl w:val="174453F0"/>
    <w:lvl w:ilvl="0" w:tentative="0">
      <w:start w:val="1"/>
      <w:numFmt w:val="japaneseCounting"/>
      <w:lvlText w:val="%1、"/>
      <w:lvlJc w:val="left"/>
      <w:pPr>
        <w:tabs>
          <w:tab w:val="left" w:pos="720"/>
        </w:tabs>
        <w:ind w:left="720" w:hanging="720"/>
      </w:pPr>
      <w:rPr>
        <w:rFonts w:hint="eastAsia"/>
      </w:rPr>
    </w:lvl>
    <w:lvl w:ilvl="1" w:tentative="0">
      <w:start w:val="1"/>
      <w:numFmt w:val="lowerLetter"/>
      <w:pStyle w:val="267"/>
      <w:lvlText w:val="%2)"/>
      <w:lvlJc w:val="left"/>
      <w:pPr>
        <w:tabs>
          <w:tab w:val="left" w:pos="1260"/>
        </w:tabs>
        <w:ind w:left="1260" w:hanging="420"/>
      </w:pPr>
    </w:lvl>
    <w:lvl w:ilvl="2" w:tentative="0">
      <w:start w:val="1"/>
      <w:numFmt w:val="lowerRoman"/>
      <w:pStyle w:val="266"/>
      <w:lvlText w:val="%3."/>
      <w:lvlJc w:val="right"/>
      <w:pPr>
        <w:tabs>
          <w:tab w:val="left" w:pos="1680"/>
        </w:tabs>
        <w:ind w:left="1680" w:hanging="420"/>
      </w:pPr>
    </w:lvl>
    <w:lvl w:ilvl="3" w:tentative="0">
      <w:start w:val="1"/>
      <w:numFmt w:val="decimal"/>
      <w:pStyle w:val="265"/>
      <w:lvlText w:val="%4."/>
      <w:lvlJc w:val="left"/>
      <w:pPr>
        <w:tabs>
          <w:tab w:val="left" w:pos="2100"/>
        </w:tabs>
        <w:ind w:left="2100" w:hanging="420"/>
      </w:pPr>
    </w:lvl>
    <w:lvl w:ilvl="4" w:tentative="0">
      <w:start w:val="1"/>
      <w:numFmt w:val="lowerLetter"/>
      <w:pStyle w:val="264"/>
      <w:lvlText w:val="%5)"/>
      <w:lvlJc w:val="left"/>
      <w:pPr>
        <w:tabs>
          <w:tab w:val="left" w:pos="2520"/>
        </w:tabs>
        <w:ind w:left="2520" w:hanging="420"/>
      </w:pPr>
    </w:lvl>
    <w:lvl w:ilvl="5" w:tentative="0">
      <w:start w:val="1"/>
      <w:numFmt w:val="lowerRoman"/>
      <w:pStyle w:val="263"/>
      <w:lvlText w:val="%6."/>
      <w:lvlJc w:val="right"/>
      <w:pPr>
        <w:tabs>
          <w:tab w:val="left" w:pos="2940"/>
        </w:tabs>
        <w:ind w:left="2940" w:hanging="420"/>
      </w:pPr>
    </w:lvl>
    <w:lvl w:ilvl="6" w:tentative="0">
      <w:start w:val="1"/>
      <w:numFmt w:val="decimal"/>
      <w:pStyle w:val="262"/>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B814D09"/>
    <w:multiLevelType w:val="singleLevel"/>
    <w:tmpl w:val="1B814D09"/>
    <w:lvl w:ilvl="0" w:tentative="0">
      <w:start w:val="1"/>
      <w:numFmt w:val="decimal"/>
      <w:suff w:val="nothing"/>
      <w:lvlText w:val="（%1）"/>
      <w:lvlJc w:val="left"/>
    </w:lvl>
  </w:abstractNum>
  <w:abstractNum w:abstractNumId="4">
    <w:nsid w:val="30E20D84"/>
    <w:multiLevelType w:val="singleLevel"/>
    <w:tmpl w:val="30E20D84"/>
    <w:lvl w:ilvl="0" w:tentative="0">
      <w:start w:val="1"/>
      <w:numFmt w:val="decimal"/>
      <w:pStyle w:val="352"/>
      <w:lvlText w:val="(%1)"/>
      <w:lvlJc w:val="left"/>
      <w:pPr>
        <w:tabs>
          <w:tab w:val="left" w:pos="960"/>
        </w:tabs>
        <w:ind w:left="960" w:hanging="465"/>
      </w:pPr>
      <w:rPr>
        <w:rFonts w:hint="default"/>
      </w:rPr>
    </w:lvl>
  </w:abstractNum>
  <w:abstractNum w:abstractNumId="5">
    <w:nsid w:val="370B7EA1"/>
    <w:multiLevelType w:val="singleLevel"/>
    <w:tmpl w:val="370B7EA1"/>
    <w:lvl w:ilvl="0" w:tentative="0">
      <w:start w:val="3"/>
      <w:numFmt w:val="chineseCounting"/>
      <w:suff w:val="nothing"/>
      <w:lvlText w:val="（%1）"/>
      <w:lvlJc w:val="left"/>
      <w:rPr>
        <w:rFonts w:hint="eastAsia"/>
      </w:rPr>
    </w:lvl>
  </w:abstractNum>
  <w:abstractNum w:abstractNumId="6">
    <w:nsid w:val="3E2B2AFE"/>
    <w:multiLevelType w:val="singleLevel"/>
    <w:tmpl w:val="3E2B2AFE"/>
    <w:lvl w:ilvl="0" w:tentative="0">
      <w:start w:val="3"/>
      <w:numFmt w:val="chineseCounting"/>
      <w:suff w:val="nothing"/>
      <w:lvlText w:val="%1、"/>
      <w:lvlJc w:val="left"/>
      <w:rPr>
        <w:rFonts w:hint="eastAsia"/>
      </w:rPr>
    </w:lvl>
  </w:abstractNum>
  <w:abstractNum w:abstractNumId="7">
    <w:nsid w:val="420C153B"/>
    <w:multiLevelType w:val="multilevel"/>
    <w:tmpl w:val="420C153B"/>
    <w:lvl w:ilvl="0" w:tentative="0">
      <w:start w:val="1"/>
      <w:numFmt w:val="decimal"/>
      <w:pStyle w:val="17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52584875"/>
    <w:multiLevelType w:val="multilevel"/>
    <w:tmpl w:val="52584875"/>
    <w:lvl w:ilvl="0" w:tentative="0">
      <w:start w:val="1"/>
      <w:numFmt w:val="japaneseCounting"/>
      <w:pStyle w:val="130"/>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442"/>
      <w:suff w:val="nothing"/>
      <w:lvlText w:val=""/>
      <w:lvlJc w:val="left"/>
      <w:pPr>
        <w:ind w:left="0" w:firstLine="0"/>
      </w:pPr>
      <w:rPr>
        <w:rFonts w:hint="eastAsia"/>
      </w:rPr>
    </w:lvl>
    <w:lvl w:ilvl="8" w:tentative="0">
      <w:start w:val="1"/>
      <w:numFmt w:val="none"/>
      <w:pStyle w:val="302"/>
      <w:suff w:val="nothing"/>
      <w:lvlText w:val=""/>
      <w:lvlJc w:val="left"/>
      <w:pPr>
        <w:ind w:left="0" w:firstLine="0"/>
      </w:pPr>
      <w:rPr>
        <w:rFonts w:hint="eastAsia"/>
      </w:rPr>
    </w:lvl>
  </w:abstractNum>
  <w:abstractNum w:abstractNumId="10">
    <w:nsid w:val="622E4B26"/>
    <w:multiLevelType w:val="multilevel"/>
    <w:tmpl w:val="622E4B26"/>
    <w:lvl w:ilvl="0" w:tentative="0">
      <w:start w:val="1"/>
      <w:numFmt w:val="japaneseCounting"/>
      <w:pStyle w:val="152"/>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A54713F"/>
    <w:multiLevelType w:val="multilevel"/>
    <w:tmpl w:val="6A54713F"/>
    <w:lvl w:ilvl="0" w:tentative="0">
      <w:start w:val="1"/>
      <w:numFmt w:val="decimal"/>
      <w:lvlText w:val="%1)"/>
      <w:lvlJc w:val="left"/>
      <w:pPr>
        <w:ind w:left="105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6FBA05F3"/>
    <w:multiLevelType w:val="singleLevel"/>
    <w:tmpl w:val="6FBA05F3"/>
    <w:lvl w:ilvl="0" w:tentative="0">
      <w:start w:val="1"/>
      <w:numFmt w:val="japaneseCounting"/>
      <w:pStyle w:val="324"/>
      <w:lvlText w:val="第%1章"/>
      <w:lvlJc w:val="left"/>
      <w:pPr>
        <w:tabs>
          <w:tab w:val="left" w:pos="1440"/>
        </w:tabs>
        <w:ind w:left="1440" w:hanging="1440"/>
      </w:pPr>
      <w:rPr>
        <w:rFonts w:hint="eastAsia" w:ascii="黑体" w:eastAsia="黑体"/>
        <w:b w:val="0"/>
        <w:sz w:val="36"/>
      </w:rPr>
    </w:lvl>
  </w:abstractNum>
  <w:abstractNum w:abstractNumId="13">
    <w:nsid w:val="7CB57642"/>
    <w:multiLevelType w:val="singleLevel"/>
    <w:tmpl w:val="7CB57642"/>
    <w:lvl w:ilvl="0" w:tentative="0">
      <w:start w:val="1"/>
      <w:numFmt w:val="decimal"/>
      <w:pStyle w:val="101"/>
      <w:lvlText w:val="%1、"/>
      <w:lvlJc w:val="left"/>
      <w:pPr>
        <w:tabs>
          <w:tab w:val="left" w:pos="1050"/>
        </w:tabs>
        <w:ind w:left="1050" w:hanging="720"/>
      </w:pPr>
      <w:rPr>
        <w:rFonts w:ascii="Times New Roman" w:hAnsi="Times New Roman" w:eastAsia="Times New Roman" w:cs="Times New Roman"/>
      </w:rPr>
    </w:lvl>
  </w:abstractNum>
  <w:abstractNum w:abstractNumId="14">
    <w:nsid w:val="7E636B3A"/>
    <w:multiLevelType w:val="multilevel"/>
    <w:tmpl w:val="7E636B3A"/>
    <w:lvl w:ilvl="0" w:tentative="0">
      <w:start w:val="1"/>
      <w:numFmt w:val="decimal"/>
      <w:lvlText w:val="(%1)"/>
      <w:lvlJc w:val="left"/>
      <w:pPr>
        <w:tabs>
          <w:tab w:val="left" w:pos="1035"/>
        </w:tabs>
        <w:ind w:left="1035" w:hanging="555"/>
      </w:pPr>
      <w:rPr>
        <w:rFonts w:hint="default"/>
      </w:rPr>
    </w:lvl>
    <w:lvl w:ilvl="1" w:tentative="0">
      <w:start w:val="1"/>
      <w:numFmt w:val="lowerLetter"/>
      <w:lvlText w:val="%2)"/>
      <w:lvlJc w:val="left"/>
      <w:pPr>
        <w:tabs>
          <w:tab w:val="left" w:pos="1320"/>
        </w:tabs>
        <w:ind w:left="1320" w:hanging="420"/>
      </w:pPr>
    </w:lvl>
    <w:lvl w:ilvl="2" w:tentative="0">
      <w:start w:val="1"/>
      <w:numFmt w:val="lowerRoman"/>
      <w:pStyle w:val="503"/>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3"/>
  </w:num>
  <w:num w:numId="2">
    <w:abstractNumId w:val="8"/>
  </w:num>
  <w:num w:numId="3">
    <w:abstractNumId w:val="10"/>
  </w:num>
  <w:num w:numId="4">
    <w:abstractNumId w:val="7"/>
  </w:num>
  <w:num w:numId="5">
    <w:abstractNumId w:val="0"/>
  </w:num>
  <w:num w:numId="6">
    <w:abstractNumId w:val="2"/>
  </w:num>
  <w:num w:numId="7">
    <w:abstractNumId w:val="9"/>
  </w:num>
  <w:num w:numId="8">
    <w:abstractNumId w:val="12"/>
  </w:num>
  <w:num w:numId="9">
    <w:abstractNumId w:val="4"/>
  </w:num>
  <w:num w:numId="10">
    <w:abstractNumId w:val="14"/>
  </w:num>
  <w:num w:numId="11">
    <w:abstractNumId w:val="6"/>
  </w:num>
  <w:num w:numId="12">
    <w:abstractNumId w:val="1"/>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2F530D"/>
    <w:rsid w:val="0000113A"/>
    <w:rsid w:val="000041F1"/>
    <w:rsid w:val="00005848"/>
    <w:rsid w:val="0000588E"/>
    <w:rsid w:val="000165D1"/>
    <w:rsid w:val="000167BD"/>
    <w:rsid w:val="000353DB"/>
    <w:rsid w:val="000376A2"/>
    <w:rsid w:val="000416BB"/>
    <w:rsid w:val="000423A9"/>
    <w:rsid w:val="00050702"/>
    <w:rsid w:val="00053EFF"/>
    <w:rsid w:val="00056745"/>
    <w:rsid w:val="00057FBA"/>
    <w:rsid w:val="00064B1A"/>
    <w:rsid w:val="0006518A"/>
    <w:rsid w:val="00065BD3"/>
    <w:rsid w:val="0007007A"/>
    <w:rsid w:val="0007100B"/>
    <w:rsid w:val="00072ECF"/>
    <w:rsid w:val="00074D09"/>
    <w:rsid w:val="00074ECF"/>
    <w:rsid w:val="00076444"/>
    <w:rsid w:val="00077505"/>
    <w:rsid w:val="00080661"/>
    <w:rsid w:val="00082F1F"/>
    <w:rsid w:val="00084F5D"/>
    <w:rsid w:val="00086013"/>
    <w:rsid w:val="00087E83"/>
    <w:rsid w:val="00090A70"/>
    <w:rsid w:val="000946FC"/>
    <w:rsid w:val="00094CED"/>
    <w:rsid w:val="000974C0"/>
    <w:rsid w:val="000B2E19"/>
    <w:rsid w:val="000B51C1"/>
    <w:rsid w:val="000C35BD"/>
    <w:rsid w:val="000C4A41"/>
    <w:rsid w:val="000D0F3D"/>
    <w:rsid w:val="000D1741"/>
    <w:rsid w:val="000E07F2"/>
    <w:rsid w:val="000F064C"/>
    <w:rsid w:val="000F1143"/>
    <w:rsid w:val="000F4FF0"/>
    <w:rsid w:val="000F69C5"/>
    <w:rsid w:val="000F7792"/>
    <w:rsid w:val="00111C3A"/>
    <w:rsid w:val="00123367"/>
    <w:rsid w:val="0012390B"/>
    <w:rsid w:val="00134C4A"/>
    <w:rsid w:val="001400BF"/>
    <w:rsid w:val="00143044"/>
    <w:rsid w:val="001441B2"/>
    <w:rsid w:val="00153140"/>
    <w:rsid w:val="00153B5D"/>
    <w:rsid w:val="00154B0E"/>
    <w:rsid w:val="00155555"/>
    <w:rsid w:val="00160BD8"/>
    <w:rsid w:val="0016757E"/>
    <w:rsid w:val="00173715"/>
    <w:rsid w:val="00174E1A"/>
    <w:rsid w:val="0017589C"/>
    <w:rsid w:val="001862DB"/>
    <w:rsid w:val="00186576"/>
    <w:rsid w:val="00190886"/>
    <w:rsid w:val="00193153"/>
    <w:rsid w:val="00195D60"/>
    <w:rsid w:val="001A5B28"/>
    <w:rsid w:val="001A6755"/>
    <w:rsid w:val="001C6D0E"/>
    <w:rsid w:val="001D1456"/>
    <w:rsid w:val="001D14F1"/>
    <w:rsid w:val="001D79DA"/>
    <w:rsid w:val="001E31FC"/>
    <w:rsid w:val="001E56CF"/>
    <w:rsid w:val="001F18F9"/>
    <w:rsid w:val="001F385D"/>
    <w:rsid w:val="001F3AF7"/>
    <w:rsid w:val="001F75E1"/>
    <w:rsid w:val="00203A17"/>
    <w:rsid w:val="00206F73"/>
    <w:rsid w:val="00212D4D"/>
    <w:rsid w:val="00212FD3"/>
    <w:rsid w:val="00213AE7"/>
    <w:rsid w:val="00214521"/>
    <w:rsid w:val="00220F8F"/>
    <w:rsid w:val="002244CB"/>
    <w:rsid w:val="00225609"/>
    <w:rsid w:val="00233D82"/>
    <w:rsid w:val="00236CC5"/>
    <w:rsid w:val="002410BD"/>
    <w:rsid w:val="002524B6"/>
    <w:rsid w:val="0025277C"/>
    <w:rsid w:val="00256725"/>
    <w:rsid w:val="002710B8"/>
    <w:rsid w:val="00274AA8"/>
    <w:rsid w:val="00277E68"/>
    <w:rsid w:val="00280BF3"/>
    <w:rsid w:val="0028459D"/>
    <w:rsid w:val="00291706"/>
    <w:rsid w:val="0029304F"/>
    <w:rsid w:val="00293D1F"/>
    <w:rsid w:val="00295354"/>
    <w:rsid w:val="002A2A44"/>
    <w:rsid w:val="002A68F4"/>
    <w:rsid w:val="002A7783"/>
    <w:rsid w:val="002A7808"/>
    <w:rsid w:val="002B4C76"/>
    <w:rsid w:val="002C31AD"/>
    <w:rsid w:val="002C3579"/>
    <w:rsid w:val="002C56B2"/>
    <w:rsid w:val="002C7B99"/>
    <w:rsid w:val="002D0599"/>
    <w:rsid w:val="002D6C56"/>
    <w:rsid w:val="002D725B"/>
    <w:rsid w:val="002E0155"/>
    <w:rsid w:val="002E1D88"/>
    <w:rsid w:val="002E2B78"/>
    <w:rsid w:val="002E584A"/>
    <w:rsid w:val="002E5B2C"/>
    <w:rsid w:val="002F530D"/>
    <w:rsid w:val="00300A4A"/>
    <w:rsid w:val="003039B2"/>
    <w:rsid w:val="00311CB3"/>
    <w:rsid w:val="003161E8"/>
    <w:rsid w:val="00317D9F"/>
    <w:rsid w:val="00320901"/>
    <w:rsid w:val="00324423"/>
    <w:rsid w:val="00324EC0"/>
    <w:rsid w:val="003278D1"/>
    <w:rsid w:val="0033304C"/>
    <w:rsid w:val="00342E26"/>
    <w:rsid w:val="00344DBC"/>
    <w:rsid w:val="00346166"/>
    <w:rsid w:val="00351A21"/>
    <w:rsid w:val="0035413A"/>
    <w:rsid w:val="00357FFE"/>
    <w:rsid w:val="00361C60"/>
    <w:rsid w:val="0036324D"/>
    <w:rsid w:val="0036343D"/>
    <w:rsid w:val="00365DD8"/>
    <w:rsid w:val="00367C45"/>
    <w:rsid w:val="00374858"/>
    <w:rsid w:val="00376DC2"/>
    <w:rsid w:val="00377EAD"/>
    <w:rsid w:val="0038150D"/>
    <w:rsid w:val="00382C03"/>
    <w:rsid w:val="00390853"/>
    <w:rsid w:val="00395CAE"/>
    <w:rsid w:val="00396147"/>
    <w:rsid w:val="003A020E"/>
    <w:rsid w:val="003A56B8"/>
    <w:rsid w:val="003A5780"/>
    <w:rsid w:val="003A6427"/>
    <w:rsid w:val="003B5B24"/>
    <w:rsid w:val="003B64B4"/>
    <w:rsid w:val="003B7E52"/>
    <w:rsid w:val="003C052C"/>
    <w:rsid w:val="003C3496"/>
    <w:rsid w:val="003C3B84"/>
    <w:rsid w:val="003C7904"/>
    <w:rsid w:val="003D18C3"/>
    <w:rsid w:val="003D6D19"/>
    <w:rsid w:val="003E4BD7"/>
    <w:rsid w:val="003E53B3"/>
    <w:rsid w:val="003E6374"/>
    <w:rsid w:val="003F0C91"/>
    <w:rsid w:val="003F6629"/>
    <w:rsid w:val="003F6B0F"/>
    <w:rsid w:val="00400324"/>
    <w:rsid w:val="00402B60"/>
    <w:rsid w:val="0040783B"/>
    <w:rsid w:val="004101E4"/>
    <w:rsid w:val="0041210B"/>
    <w:rsid w:val="004129FC"/>
    <w:rsid w:val="00412F7C"/>
    <w:rsid w:val="00412FBF"/>
    <w:rsid w:val="004134A8"/>
    <w:rsid w:val="00414C86"/>
    <w:rsid w:val="00416BCA"/>
    <w:rsid w:val="004267C8"/>
    <w:rsid w:val="004272DB"/>
    <w:rsid w:val="00430BE5"/>
    <w:rsid w:val="00430C07"/>
    <w:rsid w:val="00433CE6"/>
    <w:rsid w:val="0044275D"/>
    <w:rsid w:val="00443209"/>
    <w:rsid w:val="0044347E"/>
    <w:rsid w:val="00445799"/>
    <w:rsid w:val="00452823"/>
    <w:rsid w:val="004626E7"/>
    <w:rsid w:val="00463857"/>
    <w:rsid w:val="004648AB"/>
    <w:rsid w:val="00465778"/>
    <w:rsid w:val="00465987"/>
    <w:rsid w:val="00470E2E"/>
    <w:rsid w:val="00470F6F"/>
    <w:rsid w:val="00476CD7"/>
    <w:rsid w:val="0048597D"/>
    <w:rsid w:val="00487F02"/>
    <w:rsid w:val="00492E7A"/>
    <w:rsid w:val="0049384E"/>
    <w:rsid w:val="00496B6F"/>
    <w:rsid w:val="004A040E"/>
    <w:rsid w:val="004A4B0E"/>
    <w:rsid w:val="004A5D9F"/>
    <w:rsid w:val="004A7C0A"/>
    <w:rsid w:val="004B06A3"/>
    <w:rsid w:val="004B1809"/>
    <w:rsid w:val="004B1CE1"/>
    <w:rsid w:val="004B7B1E"/>
    <w:rsid w:val="004B7CEE"/>
    <w:rsid w:val="004C418F"/>
    <w:rsid w:val="004D3595"/>
    <w:rsid w:val="004E0A90"/>
    <w:rsid w:val="004E0F3A"/>
    <w:rsid w:val="004E4124"/>
    <w:rsid w:val="004E5EC5"/>
    <w:rsid w:val="004F4289"/>
    <w:rsid w:val="0050456F"/>
    <w:rsid w:val="00510119"/>
    <w:rsid w:val="00512662"/>
    <w:rsid w:val="00523F15"/>
    <w:rsid w:val="00533A10"/>
    <w:rsid w:val="005367B7"/>
    <w:rsid w:val="0053690B"/>
    <w:rsid w:val="005430DE"/>
    <w:rsid w:val="00546C1B"/>
    <w:rsid w:val="00551303"/>
    <w:rsid w:val="0055601C"/>
    <w:rsid w:val="00556864"/>
    <w:rsid w:val="00557B99"/>
    <w:rsid w:val="0056189B"/>
    <w:rsid w:val="00564913"/>
    <w:rsid w:val="00566FAA"/>
    <w:rsid w:val="00567721"/>
    <w:rsid w:val="005805D7"/>
    <w:rsid w:val="005864EC"/>
    <w:rsid w:val="00590266"/>
    <w:rsid w:val="005A3E59"/>
    <w:rsid w:val="005A6A3A"/>
    <w:rsid w:val="005B0ADB"/>
    <w:rsid w:val="005B35EF"/>
    <w:rsid w:val="005C4B68"/>
    <w:rsid w:val="005C558E"/>
    <w:rsid w:val="005C668D"/>
    <w:rsid w:val="005D0253"/>
    <w:rsid w:val="005D0CB4"/>
    <w:rsid w:val="005D316D"/>
    <w:rsid w:val="005E0D61"/>
    <w:rsid w:val="005E1EE3"/>
    <w:rsid w:val="005E3DE5"/>
    <w:rsid w:val="005E537F"/>
    <w:rsid w:val="005F7515"/>
    <w:rsid w:val="0060056A"/>
    <w:rsid w:val="006047F7"/>
    <w:rsid w:val="006062F0"/>
    <w:rsid w:val="00607F76"/>
    <w:rsid w:val="006173FB"/>
    <w:rsid w:val="006259E2"/>
    <w:rsid w:val="00631979"/>
    <w:rsid w:val="00636060"/>
    <w:rsid w:val="00640CEC"/>
    <w:rsid w:val="00643660"/>
    <w:rsid w:val="00646C55"/>
    <w:rsid w:val="00647FD6"/>
    <w:rsid w:val="00650B6C"/>
    <w:rsid w:val="00652838"/>
    <w:rsid w:val="00653AC0"/>
    <w:rsid w:val="006614EB"/>
    <w:rsid w:val="006623E0"/>
    <w:rsid w:val="006627D6"/>
    <w:rsid w:val="00663441"/>
    <w:rsid w:val="00670D49"/>
    <w:rsid w:val="00673035"/>
    <w:rsid w:val="00674534"/>
    <w:rsid w:val="0067622D"/>
    <w:rsid w:val="0068291E"/>
    <w:rsid w:val="00687981"/>
    <w:rsid w:val="00692B84"/>
    <w:rsid w:val="00696492"/>
    <w:rsid w:val="006A2B10"/>
    <w:rsid w:val="006A48E5"/>
    <w:rsid w:val="006A7294"/>
    <w:rsid w:val="006B5B99"/>
    <w:rsid w:val="006C53D1"/>
    <w:rsid w:val="006C6367"/>
    <w:rsid w:val="006C6E78"/>
    <w:rsid w:val="006D17EB"/>
    <w:rsid w:val="006D32E8"/>
    <w:rsid w:val="006D3A99"/>
    <w:rsid w:val="006E0B51"/>
    <w:rsid w:val="006E0EC9"/>
    <w:rsid w:val="006E2723"/>
    <w:rsid w:val="006E5481"/>
    <w:rsid w:val="006F2015"/>
    <w:rsid w:val="006F3FC8"/>
    <w:rsid w:val="006F4533"/>
    <w:rsid w:val="006F720C"/>
    <w:rsid w:val="006F72CC"/>
    <w:rsid w:val="006F7940"/>
    <w:rsid w:val="006F7ADD"/>
    <w:rsid w:val="007050E0"/>
    <w:rsid w:val="007113B0"/>
    <w:rsid w:val="00711E76"/>
    <w:rsid w:val="00711F07"/>
    <w:rsid w:val="00713462"/>
    <w:rsid w:val="00723668"/>
    <w:rsid w:val="00732882"/>
    <w:rsid w:val="0073529A"/>
    <w:rsid w:val="007373D0"/>
    <w:rsid w:val="00742C8F"/>
    <w:rsid w:val="00743BC2"/>
    <w:rsid w:val="00744919"/>
    <w:rsid w:val="00744F86"/>
    <w:rsid w:val="00754C9B"/>
    <w:rsid w:val="0075691C"/>
    <w:rsid w:val="00762296"/>
    <w:rsid w:val="00765DFD"/>
    <w:rsid w:val="00770699"/>
    <w:rsid w:val="00773DE2"/>
    <w:rsid w:val="00776FE8"/>
    <w:rsid w:val="00780690"/>
    <w:rsid w:val="00780E8C"/>
    <w:rsid w:val="00780EE6"/>
    <w:rsid w:val="007839F1"/>
    <w:rsid w:val="00785C06"/>
    <w:rsid w:val="00791D35"/>
    <w:rsid w:val="00791D4F"/>
    <w:rsid w:val="00791F7D"/>
    <w:rsid w:val="0079383F"/>
    <w:rsid w:val="00793D45"/>
    <w:rsid w:val="00794B44"/>
    <w:rsid w:val="007953D4"/>
    <w:rsid w:val="00796EC4"/>
    <w:rsid w:val="007A5DAF"/>
    <w:rsid w:val="007B258E"/>
    <w:rsid w:val="007B26F5"/>
    <w:rsid w:val="007B4CC1"/>
    <w:rsid w:val="007B5E46"/>
    <w:rsid w:val="007B7F61"/>
    <w:rsid w:val="007C0933"/>
    <w:rsid w:val="007C0A70"/>
    <w:rsid w:val="007C44FA"/>
    <w:rsid w:val="007C509A"/>
    <w:rsid w:val="007D5643"/>
    <w:rsid w:val="007D6C73"/>
    <w:rsid w:val="007E4C33"/>
    <w:rsid w:val="007F121A"/>
    <w:rsid w:val="007F284B"/>
    <w:rsid w:val="007F4A06"/>
    <w:rsid w:val="007F6BB6"/>
    <w:rsid w:val="00805F53"/>
    <w:rsid w:val="008065A4"/>
    <w:rsid w:val="0080706C"/>
    <w:rsid w:val="00820FDF"/>
    <w:rsid w:val="008220BD"/>
    <w:rsid w:val="0082656B"/>
    <w:rsid w:val="00826BC3"/>
    <w:rsid w:val="00827BAF"/>
    <w:rsid w:val="00835099"/>
    <w:rsid w:val="00835FFB"/>
    <w:rsid w:val="00836609"/>
    <w:rsid w:val="008435BF"/>
    <w:rsid w:val="00844256"/>
    <w:rsid w:val="0084672E"/>
    <w:rsid w:val="00847622"/>
    <w:rsid w:val="00847AE2"/>
    <w:rsid w:val="00850A3A"/>
    <w:rsid w:val="00850DDD"/>
    <w:rsid w:val="008518A0"/>
    <w:rsid w:val="00861A0E"/>
    <w:rsid w:val="00865B80"/>
    <w:rsid w:val="00867F56"/>
    <w:rsid w:val="00872903"/>
    <w:rsid w:val="00872904"/>
    <w:rsid w:val="00887D17"/>
    <w:rsid w:val="00890306"/>
    <w:rsid w:val="008945E4"/>
    <w:rsid w:val="008967D1"/>
    <w:rsid w:val="008A27FA"/>
    <w:rsid w:val="008B26EB"/>
    <w:rsid w:val="008B34BD"/>
    <w:rsid w:val="008C5D01"/>
    <w:rsid w:val="008C6E2F"/>
    <w:rsid w:val="008D2B2B"/>
    <w:rsid w:val="008D351D"/>
    <w:rsid w:val="008D3A86"/>
    <w:rsid w:val="008D4699"/>
    <w:rsid w:val="008D6E5A"/>
    <w:rsid w:val="008D72DC"/>
    <w:rsid w:val="008E12F3"/>
    <w:rsid w:val="008E7175"/>
    <w:rsid w:val="008F6289"/>
    <w:rsid w:val="0090215F"/>
    <w:rsid w:val="00912EE5"/>
    <w:rsid w:val="00916266"/>
    <w:rsid w:val="0092184A"/>
    <w:rsid w:val="00926975"/>
    <w:rsid w:val="009374E2"/>
    <w:rsid w:val="00942131"/>
    <w:rsid w:val="009434AA"/>
    <w:rsid w:val="009459B9"/>
    <w:rsid w:val="00957BE0"/>
    <w:rsid w:val="00961ED3"/>
    <w:rsid w:val="0096533A"/>
    <w:rsid w:val="00971416"/>
    <w:rsid w:val="009719E1"/>
    <w:rsid w:val="0097263D"/>
    <w:rsid w:val="0098136C"/>
    <w:rsid w:val="0098221D"/>
    <w:rsid w:val="00982F04"/>
    <w:rsid w:val="00987B46"/>
    <w:rsid w:val="00990881"/>
    <w:rsid w:val="00991ED7"/>
    <w:rsid w:val="00993A76"/>
    <w:rsid w:val="009A04C3"/>
    <w:rsid w:val="009A3153"/>
    <w:rsid w:val="009A7ED6"/>
    <w:rsid w:val="009B0C6D"/>
    <w:rsid w:val="009B1514"/>
    <w:rsid w:val="009B5252"/>
    <w:rsid w:val="009B5611"/>
    <w:rsid w:val="009B6F64"/>
    <w:rsid w:val="009B7A9E"/>
    <w:rsid w:val="009C2123"/>
    <w:rsid w:val="009C3E79"/>
    <w:rsid w:val="009C4E4D"/>
    <w:rsid w:val="009C61FD"/>
    <w:rsid w:val="009D0556"/>
    <w:rsid w:val="009D2F1F"/>
    <w:rsid w:val="009D5367"/>
    <w:rsid w:val="009D5F68"/>
    <w:rsid w:val="009E05CC"/>
    <w:rsid w:val="009E100E"/>
    <w:rsid w:val="009E16BF"/>
    <w:rsid w:val="009E31C0"/>
    <w:rsid w:val="009F1020"/>
    <w:rsid w:val="009F1F97"/>
    <w:rsid w:val="009F27C5"/>
    <w:rsid w:val="009F3222"/>
    <w:rsid w:val="009F4F6F"/>
    <w:rsid w:val="009F5B19"/>
    <w:rsid w:val="00A00FBE"/>
    <w:rsid w:val="00A015C5"/>
    <w:rsid w:val="00A038D5"/>
    <w:rsid w:val="00A043EC"/>
    <w:rsid w:val="00A0532B"/>
    <w:rsid w:val="00A053C3"/>
    <w:rsid w:val="00A11049"/>
    <w:rsid w:val="00A124EB"/>
    <w:rsid w:val="00A12C26"/>
    <w:rsid w:val="00A179D0"/>
    <w:rsid w:val="00A228D3"/>
    <w:rsid w:val="00A230A9"/>
    <w:rsid w:val="00A304CD"/>
    <w:rsid w:val="00A30CA4"/>
    <w:rsid w:val="00A42F53"/>
    <w:rsid w:val="00A4553A"/>
    <w:rsid w:val="00A53A6A"/>
    <w:rsid w:val="00A626A0"/>
    <w:rsid w:val="00A701B8"/>
    <w:rsid w:val="00A70255"/>
    <w:rsid w:val="00A71621"/>
    <w:rsid w:val="00A7290C"/>
    <w:rsid w:val="00A81973"/>
    <w:rsid w:val="00A8488C"/>
    <w:rsid w:val="00A8552E"/>
    <w:rsid w:val="00A86FC8"/>
    <w:rsid w:val="00A875BD"/>
    <w:rsid w:val="00A906A5"/>
    <w:rsid w:val="00A91D07"/>
    <w:rsid w:val="00A945ED"/>
    <w:rsid w:val="00A95CA4"/>
    <w:rsid w:val="00AA40A7"/>
    <w:rsid w:val="00AA5EFE"/>
    <w:rsid w:val="00AB1894"/>
    <w:rsid w:val="00AB5530"/>
    <w:rsid w:val="00AB58B5"/>
    <w:rsid w:val="00AB6801"/>
    <w:rsid w:val="00AC2BDB"/>
    <w:rsid w:val="00AC3612"/>
    <w:rsid w:val="00AC3B43"/>
    <w:rsid w:val="00AC5FB5"/>
    <w:rsid w:val="00AD0D3C"/>
    <w:rsid w:val="00AD28A4"/>
    <w:rsid w:val="00AD53CF"/>
    <w:rsid w:val="00AD745C"/>
    <w:rsid w:val="00AE0BDD"/>
    <w:rsid w:val="00AE3535"/>
    <w:rsid w:val="00AE656E"/>
    <w:rsid w:val="00AF1555"/>
    <w:rsid w:val="00AF28F1"/>
    <w:rsid w:val="00AF3298"/>
    <w:rsid w:val="00AF480D"/>
    <w:rsid w:val="00AF51FD"/>
    <w:rsid w:val="00AF6192"/>
    <w:rsid w:val="00AF63CA"/>
    <w:rsid w:val="00B02A40"/>
    <w:rsid w:val="00B03EE2"/>
    <w:rsid w:val="00B04CFD"/>
    <w:rsid w:val="00B06B3E"/>
    <w:rsid w:val="00B1164C"/>
    <w:rsid w:val="00B116E3"/>
    <w:rsid w:val="00B15416"/>
    <w:rsid w:val="00B16B31"/>
    <w:rsid w:val="00B1795B"/>
    <w:rsid w:val="00B200AA"/>
    <w:rsid w:val="00B23B66"/>
    <w:rsid w:val="00B30723"/>
    <w:rsid w:val="00B329D4"/>
    <w:rsid w:val="00B34A6E"/>
    <w:rsid w:val="00B36487"/>
    <w:rsid w:val="00B441F7"/>
    <w:rsid w:val="00B47683"/>
    <w:rsid w:val="00B5332E"/>
    <w:rsid w:val="00B573E8"/>
    <w:rsid w:val="00B57C30"/>
    <w:rsid w:val="00B616EB"/>
    <w:rsid w:val="00B64BA8"/>
    <w:rsid w:val="00B719E5"/>
    <w:rsid w:val="00B75007"/>
    <w:rsid w:val="00B86265"/>
    <w:rsid w:val="00B932D6"/>
    <w:rsid w:val="00B93D7C"/>
    <w:rsid w:val="00B97A58"/>
    <w:rsid w:val="00BA4FFE"/>
    <w:rsid w:val="00BB0948"/>
    <w:rsid w:val="00BB3273"/>
    <w:rsid w:val="00BB7458"/>
    <w:rsid w:val="00BB7C92"/>
    <w:rsid w:val="00BC1869"/>
    <w:rsid w:val="00BC2045"/>
    <w:rsid w:val="00BC51C1"/>
    <w:rsid w:val="00BC68A3"/>
    <w:rsid w:val="00BC7775"/>
    <w:rsid w:val="00BE06C8"/>
    <w:rsid w:val="00BE589E"/>
    <w:rsid w:val="00BE70D3"/>
    <w:rsid w:val="00BF0D43"/>
    <w:rsid w:val="00BF4137"/>
    <w:rsid w:val="00C01A22"/>
    <w:rsid w:val="00C05C89"/>
    <w:rsid w:val="00C062C5"/>
    <w:rsid w:val="00C06A5E"/>
    <w:rsid w:val="00C130FF"/>
    <w:rsid w:val="00C163AC"/>
    <w:rsid w:val="00C17FD0"/>
    <w:rsid w:val="00C30C49"/>
    <w:rsid w:val="00C3147F"/>
    <w:rsid w:val="00C32900"/>
    <w:rsid w:val="00C333C0"/>
    <w:rsid w:val="00C43664"/>
    <w:rsid w:val="00C544A3"/>
    <w:rsid w:val="00C54C25"/>
    <w:rsid w:val="00C559C9"/>
    <w:rsid w:val="00C55FEC"/>
    <w:rsid w:val="00C6251A"/>
    <w:rsid w:val="00C64DE2"/>
    <w:rsid w:val="00C667DF"/>
    <w:rsid w:val="00C70117"/>
    <w:rsid w:val="00C75ADC"/>
    <w:rsid w:val="00C7664F"/>
    <w:rsid w:val="00C85F7C"/>
    <w:rsid w:val="00C86692"/>
    <w:rsid w:val="00C870CA"/>
    <w:rsid w:val="00C8732D"/>
    <w:rsid w:val="00C948DF"/>
    <w:rsid w:val="00C949E2"/>
    <w:rsid w:val="00C97DD0"/>
    <w:rsid w:val="00CA4688"/>
    <w:rsid w:val="00CA6AA2"/>
    <w:rsid w:val="00CB09BC"/>
    <w:rsid w:val="00CB1CC8"/>
    <w:rsid w:val="00CB26B2"/>
    <w:rsid w:val="00CB4BEB"/>
    <w:rsid w:val="00CB4F89"/>
    <w:rsid w:val="00CC3952"/>
    <w:rsid w:val="00CC7C76"/>
    <w:rsid w:val="00CD0487"/>
    <w:rsid w:val="00CD28D1"/>
    <w:rsid w:val="00CD29D6"/>
    <w:rsid w:val="00CD3A16"/>
    <w:rsid w:val="00CD6D72"/>
    <w:rsid w:val="00CE084F"/>
    <w:rsid w:val="00CE1174"/>
    <w:rsid w:val="00CE37EB"/>
    <w:rsid w:val="00CF055D"/>
    <w:rsid w:val="00CF0EEA"/>
    <w:rsid w:val="00CF1B69"/>
    <w:rsid w:val="00CF6903"/>
    <w:rsid w:val="00D003B6"/>
    <w:rsid w:val="00D042E7"/>
    <w:rsid w:val="00D046F4"/>
    <w:rsid w:val="00D11AC3"/>
    <w:rsid w:val="00D149B2"/>
    <w:rsid w:val="00D16D70"/>
    <w:rsid w:val="00D24A7D"/>
    <w:rsid w:val="00D25850"/>
    <w:rsid w:val="00D2677D"/>
    <w:rsid w:val="00D322AC"/>
    <w:rsid w:val="00D34B28"/>
    <w:rsid w:val="00D402A6"/>
    <w:rsid w:val="00D4222B"/>
    <w:rsid w:val="00D44026"/>
    <w:rsid w:val="00D51837"/>
    <w:rsid w:val="00D5374B"/>
    <w:rsid w:val="00D54A50"/>
    <w:rsid w:val="00D54BE0"/>
    <w:rsid w:val="00D63F8A"/>
    <w:rsid w:val="00D73423"/>
    <w:rsid w:val="00D7572C"/>
    <w:rsid w:val="00D77536"/>
    <w:rsid w:val="00D82830"/>
    <w:rsid w:val="00D8412D"/>
    <w:rsid w:val="00D862C0"/>
    <w:rsid w:val="00D901D4"/>
    <w:rsid w:val="00D95764"/>
    <w:rsid w:val="00DA06C2"/>
    <w:rsid w:val="00DA18B3"/>
    <w:rsid w:val="00DA2DF7"/>
    <w:rsid w:val="00DA509A"/>
    <w:rsid w:val="00DA554F"/>
    <w:rsid w:val="00DB0787"/>
    <w:rsid w:val="00DB2DB0"/>
    <w:rsid w:val="00DB354C"/>
    <w:rsid w:val="00DB5964"/>
    <w:rsid w:val="00DB5C9A"/>
    <w:rsid w:val="00DB61AF"/>
    <w:rsid w:val="00DC2D24"/>
    <w:rsid w:val="00DD6363"/>
    <w:rsid w:val="00DE1790"/>
    <w:rsid w:val="00DE4F62"/>
    <w:rsid w:val="00DF0C9F"/>
    <w:rsid w:val="00DF32C0"/>
    <w:rsid w:val="00DF6B5F"/>
    <w:rsid w:val="00DF6B77"/>
    <w:rsid w:val="00E03682"/>
    <w:rsid w:val="00E0559E"/>
    <w:rsid w:val="00E122DD"/>
    <w:rsid w:val="00E153A1"/>
    <w:rsid w:val="00E2104A"/>
    <w:rsid w:val="00E21B5F"/>
    <w:rsid w:val="00E255AA"/>
    <w:rsid w:val="00E305D3"/>
    <w:rsid w:val="00E36563"/>
    <w:rsid w:val="00E41765"/>
    <w:rsid w:val="00E44C49"/>
    <w:rsid w:val="00E46E92"/>
    <w:rsid w:val="00E509A7"/>
    <w:rsid w:val="00E54A93"/>
    <w:rsid w:val="00E608ED"/>
    <w:rsid w:val="00E666EA"/>
    <w:rsid w:val="00E6684B"/>
    <w:rsid w:val="00E720E4"/>
    <w:rsid w:val="00E725A5"/>
    <w:rsid w:val="00E72AF5"/>
    <w:rsid w:val="00E7647A"/>
    <w:rsid w:val="00E77020"/>
    <w:rsid w:val="00E772CC"/>
    <w:rsid w:val="00E87D7E"/>
    <w:rsid w:val="00E915DF"/>
    <w:rsid w:val="00EA2565"/>
    <w:rsid w:val="00EA28E2"/>
    <w:rsid w:val="00EB1806"/>
    <w:rsid w:val="00EB20B6"/>
    <w:rsid w:val="00EB3C28"/>
    <w:rsid w:val="00EB3CDB"/>
    <w:rsid w:val="00EB6D55"/>
    <w:rsid w:val="00EB6E25"/>
    <w:rsid w:val="00EC02FF"/>
    <w:rsid w:val="00EC2F6E"/>
    <w:rsid w:val="00EC46CA"/>
    <w:rsid w:val="00EC671D"/>
    <w:rsid w:val="00ED253E"/>
    <w:rsid w:val="00ED299E"/>
    <w:rsid w:val="00ED2B43"/>
    <w:rsid w:val="00EE3BAD"/>
    <w:rsid w:val="00EF2D4C"/>
    <w:rsid w:val="00EF59C4"/>
    <w:rsid w:val="00F033E8"/>
    <w:rsid w:val="00F1124F"/>
    <w:rsid w:val="00F235DC"/>
    <w:rsid w:val="00F301DA"/>
    <w:rsid w:val="00F30499"/>
    <w:rsid w:val="00F36A6E"/>
    <w:rsid w:val="00F42DC6"/>
    <w:rsid w:val="00F4699F"/>
    <w:rsid w:val="00F47B4D"/>
    <w:rsid w:val="00F508FD"/>
    <w:rsid w:val="00F50F49"/>
    <w:rsid w:val="00F527B5"/>
    <w:rsid w:val="00F53275"/>
    <w:rsid w:val="00F53F6A"/>
    <w:rsid w:val="00F565C8"/>
    <w:rsid w:val="00F570D8"/>
    <w:rsid w:val="00F63D28"/>
    <w:rsid w:val="00F66995"/>
    <w:rsid w:val="00F72B57"/>
    <w:rsid w:val="00F743CD"/>
    <w:rsid w:val="00F74E39"/>
    <w:rsid w:val="00F770C6"/>
    <w:rsid w:val="00F77A7D"/>
    <w:rsid w:val="00F84AD4"/>
    <w:rsid w:val="00F90D98"/>
    <w:rsid w:val="00F9152C"/>
    <w:rsid w:val="00F922C9"/>
    <w:rsid w:val="00F95F07"/>
    <w:rsid w:val="00FA2290"/>
    <w:rsid w:val="00FA32B0"/>
    <w:rsid w:val="00FA6565"/>
    <w:rsid w:val="00FB4C79"/>
    <w:rsid w:val="00FC03C9"/>
    <w:rsid w:val="00FD0197"/>
    <w:rsid w:val="00FD2397"/>
    <w:rsid w:val="00FD571E"/>
    <w:rsid w:val="00FD6C49"/>
    <w:rsid w:val="00FE0C91"/>
    <w:rsid w:val="00FE3733"/>
    <w:rsid w:val="00FE5C07"/>
    <w:rsid w:val="00FE65E7"/>
    <w:rsid w:val="00FF3294"/>
    <w:rsid w:val="00FF3CA6"/>
    <w:rsid w:val="00FF76E3"/>
    <w:rsid w:val="01722871"/>
    <w:rsid w:val="01BD125A"/>
    <w:rsid w:val="02515BFB"/>
    <w:rsid w:val="02867B53"/>
    <w:rsid w:val="02E81B72"/>
    <w:rsid w:val="03B279A9"/>
    <w:rsid w:val="04BF358A"/>
    <w:rsid w:val="0570626B"/>
    <w:rsid w:val="059E208C"/>
    <w:rsid w:val="05A31F76"/>
    <w:rsid w:val="06484D30"/>
    <w:rsid w:val="0658411D"/>
    <w:rsid w:val="066A07C2"/>
    <w:rsid w:val="08327F3F"/>
    <w:rsid w:val="09196AE5"/>
    <w:rsid w:val="09587C95"/>
    <w:rsid w:val="09E051B0"/>
    <w:rsid w:val="0A0454E4"/>
    <w:rsid w:val="0A336DCD"/>
    <w:rsid w:val="0AC86480"/>
    <w:rsid w:val="0C03291F"/>
    <w:rsid w:val="0C3D09FB"/>
    <w:rsid w:val="0E2A5230"/>
    <w:rsid w:val="0EE91DD4"/>
    <w:rsid w:val="0EF52FE5"/>
    <w:rsid w:val="0F0B18E5"/>
    <w:rsid w:val="0F231A51"/>
    <w:rsid w:val="0F9D5F7C"/>
    <w:rsid w:val="100D24D6"/>
    <w:rsid w:val="10233BAA"/>
    <w:rsid w:val="102E3BF4"/>
    <w:rsid w:val="104516D5"/>
    <w:rsid w:val="10B675D1"/>
    <w:rsid w:val="10FD39C4"/>
    <w:rsid w:val="11AB540F"/>
    <w:rsid w:val="12713B36"/>
    <w:rsid w:val="128E4D2E"/>
    <w:rsid w:val="12C20C34"/>
    <w:rsid w:val="130C5D19"/>
    <w:rsid w:val="1381012B"/>
    <w:rsid w:val="13924C4A"/>
    <w:rsid w:val="13EA43C4"/>
    <w:rsid w:val="13FA0B05"/>
    <w:rsid w:val="14A600AD"/>
    <w:rsid w:val="157A11B4"/>
    <w:rsid w:val="159E5561"/>
    <w:rsid w:val="1605078A"/>
    <w:rsid w:val="168B139A"/>
    <w:rsid w:val="16D26CCC"/>
    <w:rsid w:val="183444ED"/>
    <w:rsid w:val="18AA5783"/>
    <w:rsid w:val="18DD0B8B"/>
    <w:rsid w:val="18FC28D5"/>
    <w:rsid w:val="19AE19E2"/>
    <w:rsid w:val="1A4F1397"/>
    <w:rsid w:val="1A8E0760"/>
    <w:rsid w:val="1BE95461"/>
    <w:rsid w:val="1C434CB1"/>
    <w:rsid w:val="1C4F35A9"/>
    <w:rsid w:val="1C63410A"/>
    <w:rsid w:val="1CF26BD8"/>
    <w:rsid w:val="1D354154"/>
    <w:rsid w:val="1DC5142E"/>
    <w:rsid w:val="1DD503D8"/>
    <w:rsid w:val="1E1361D3"/>
    <w:rsid w:val="1E730FC9"/>
    <w:rsid w:val="1EA344CB"/>
    <w:rsid w:val="200615F6"/>
    <w:rsid w:val="200F334C"/>
    <w:rsid w:val="205E61CA"/>
    <w:rsid w:val="212E259B"/>
    <w:rsid w:val="21316CC9"/>
    <w:rsid w:val="21757E1A"/>
    <w:rsid w:val="218522CF"/>
    <w:rsid w:val="22844A7C"/>
    <w:rsid w:val="23284FBE"/>
    <w:rsid w:val="243F172B"/>
    <w:rsid w:val="249A133B"/>
    <w:rsid w:val="25673110"/>
    <w:rsid w:val="2690625C"/>
    <w:rsid w:val="282202DB"/>
    <w:rsid w:val="28A1280D"/>
    <w:rsid w:val="28CE3BDE"/>
    <w:rsid w:val="28EF59EE"/>
    <w:rsid w:val="29650322"/>
    <w:rsid w:val="29AB16D6"/>
    <w:rsid w:val="29D0136F"/>
    <w:rsid w:val="2AA0249A"/>
    <w:rsid w:val="2AD67DCC"/>
    <w:rsid w:val="2B0843AC"/>
    <w:rsid w:val="2C74795A"/>
    <w:rsid w:val="2DAB4D31"/>
    <w:rsid w:val="2DB20015"/>
    <w:rsid w:val="2DBD46E2"/>
    <w:rsid w:val="2DCA13DC"/>
    <w:rsid w:val="2DCE5BEF"/>
    <w:rsid w:val="2EF06BE4"/>
    <w:rsid w:val="2F6566FA"/>
    <w:rsid w:val="2FEE40CA"/>
    <w:rsid w:val="32035EC0"/>
    <w:rsid w:val="330E76A9"/>
    <w:rsid w:val="33225B11"/>
    <w:rsid w:val="338D7A3D"/>
    <w:rsid w:val="33F3240F"/>
    <w:rsid w:val="34363737"/>
    <w:rsid w:val="34AD0139"/>
    <w:rsid w:val="354E3ED8"/>
    <w:rsid w:val="35917EB9"/>
    <w:rsid w:val="367A1208"/>
    <w:rsid w:val="36F368F4"/>
    <w:rsid w:val="38032212"/>
    <w:rsid w:val="383C4C76"/>
    <w:rsid w:val="38FF3AF2"/>
    <w:rsid w:val="3AE527AE"/>
    <w:rsid w:val="3AF639F1"/>
    <w:rsid w:val="3B3C4C24"/>
    <w:rsid w:val="3BF71482"/>
    <w:rsid w:val="3CC243E7"/>
    <w:rsid w:val="3E9026F1"/>
    <w:rsid w:val="3E90539E"/>
    <w:rsid w:val="3E9C467E"/>
    <w:rsid w:val="3EE87B12"/>
    <w:rsid w:val="40187DC1"/>
    <w:rsid w:val="40A860A5"/>
    <w:rsid w:val="40DA1635"/>
    <w:rsid w:val="42607843"/>
    <w:rsid w:val="42AD55F7"/>
    <w:rsid w:val="431B319D"/>
    <w:rsid w:val="432524BA"/>
    <w:rsid w:val="44756A5D"/>
    <w:rsid w:val="44B4758C"/>
    <w:rsid w:val="458B0915"/>
    <w:rsid w:val="459A1FAA"/>
    <w:rsid w:val="475D7077"/>
    <w:rsid w:val="477D1E3E"/>
    <w:rsid w:val="47931261"/>
    <w:rsid w:val="49156F07"/>
    <w:rsid w:val="4A2E2C44"/>
    <w:rsid w:val="4A4D1C7C"/>
    <w:rsid w:val="4A6C629F"/>
    <w:rsid w:val="4AF72FBF"/>
    <w:rsid w:val="4B282FF6"/>
    <w:rsid w:val="4C3055E4"/>
    <w:rsid w:val="4C6E37DF"/>
    <w:rsid w:val="4C9F43DD"/>
    <w:rsid w:val="4D8754A7"/>
    <w:rsid w:val="4DA609CA"/>
    <w:rsid w:val="4E6C0D13"/>
    <w:rsid w:val="4F0132DB"/>
    <w:rsid w:val="4F343068"/>
    <w:rsid w:val="4F7F4DDA"/>
    <w:rsid w:val="4FFB34C0"/>
    <w:rsid w:val="50976BC6"/>
    <w:rsid w:val="50F35FBD"/>
    <w:rsid w:val="51036FC5"/>
    <w:rsid w:val="51080952"/>
    <w:rsid w:val="51243EC5"/>
    <w:rsid w:val="5190510A"/>
    <w:rsid w:val="519662AC"/>
    <w:rsid w:val="51E11F6A"/>
    <w:rsid w:val="523D3CE2"/>
    <w:rsid w:val="52C72DD6"/>
    <w:rsid w:val="52F9708E"/>
    <w:rsid w:val="54120337"/>
    <w:rsid w:val="5432392C"/>
    <w:rsid w:val="544D0EEF"/>
    <w:rsid w:val="54DB4BFB"/>
    <w:rsid w:val="55FE59A9"/>
    <w:rsid w:val="57730EDB"/>
    <w:rsid w:val="59ED6954"/>
    <w:rsid w:val="5A2C339B"/>
    <w:rsid w:val="5C212EF6"/>
    <w:rsid w:val="5CA44D46"/>
    <w:rsid w:val="5CB715F3"/>
    <w:rsid w:val="5CC5321A"/>
    <w:rsid w:val="5D5A3645"/>
    <w:rsid w:val="5D676189"/>
    <w:rsid w:val="5D72595F"/>
    <w:rsid w:val="5DCC664F"/>
    <w:rsid w:val="61951419"/>
    <w:rsid w:val="63081C5C"/>
    <w:rsid w:val="63DD579C"/>
    <w:rsid w:val="6436571F"/>
    <w:rsid w:val="64C722EB"/>
    <w:rsid w:val="66276940"/>
    <w:rsid w:val="66A35405"/>
    <w:rsid w:val="6713156E"/>
    <w:rsid w:val="69A35766"/>
    <w:rsid w:val="69A87696"/>
    <w:rsid w:val="6A4F0E3E"/>
    <w:rsid w:val="6AD819FD"/>
    <w:rsid w:val="6B0F3B3A"/>
    <w:rsid w:val="6B627A24"/>
    <w:rsid w:val="6C51241B"/>
    <w:rsid w:val="6CB3059C"/>
    <w:rsid w:val="6CF4159A"/>
    <w:rsid w:val="6D032830"/>
    <w:rsid w:val="6D664E58"/>
    <w:rsid w:val="6DDB1E2E"/>
    <w:rsid w:val="6FFF7C62"/>
    <w:rsid w:val="70423D55"/>
    <w:rsid w:val="705E01B4"/>
    <w:rsid w:val="70677805"/>
    <w:rsid w:val="708003C8"/>
    <w:rsid w:val="70F06AF5"/>
    <w:rsid w:val="71876A02"/>
    <w:rsid w:val="730A746D"/>
    <w:rsid w:val="73A572E5"/>
    <w:rsid w:val="73B7308E"/>
    <w:rsid w:val="73F37FE6"/>
    <w:rsid w:val="74422B2C"/>
    <w:rsid w:val="758972BD"/>
    <w:rsid w:val="75B87927"/>
    <w:rsid w:val="77B15421"/>
    <w:rsid w:val="78906E53"/>
    <w:rsid w:val="78977B87"/>
    <w:rsid w:val="78A96ABF"/>
    <w:rsid w:val="78BF2240"/>
    <w:rsid w:val="79EE71EC"/>
    <w:rsid w:val="7A3D3E5A"/>
    <w:rsid w:val="7AF56F0F"/>
    <w:rsid w:val="7B370535"/>
    <w:rsid w:val="7B4231CA"/>
    <w:rsid w:val="7C071BFE"/>
    <w:rsid w:val="7C5C2FDB"/>
    <w:rsid w:val="7C7F5C6B"/>
    <w:rsid w:val="7D09403D"/>
    <w:rsid w:val="7D1B174B"/>
    <w:rsid w:val="7D7E04F3"/>
    <w:rsid w:val="7DB46C17"/>
    <w:rsid w:val="7E5B69D5"/>
    <w:rsid w:val="7E6966B9"/>
    <w:rsid w:val="7EA11D16"/>
    <w:rsid w:val="7F161B3F"/>
    <w:rsid w:val="7F2B24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70"/>
    <w:qFormat/>
    <w:uiPriority w:val="0"/>
    <w:pPr>
      <w:keepNext/>
      <w:keepLines/>
      <w:spacing w:before="340" w:after="330" w:line="578" w:lineRule="auto"/>
      <w:outlineLvl w:val="0"/>
    </w:pPr>
    <w:rPr>
      <w:rFonts w:eastAsia="楷体_GB2312"/>
      <w:b/>
      <w:kern w:val="44"/>
      <w:sz w:val="44"/>
      <w:szCs w:val="20"/>
    </w:rPr>
  </w:style>
  <w:style w:type="paragraph" w:styleId="5">
    <w:name w:val="heading 2"/>
    <w:basedOn w:val="1"/>
    <w:next w:val="1"/>
    <w:link w:val="71"/>
    <w:qFormat/>
    <w:uiPriority w:val="0"/>
    <w:pPr>
      <w:keepNext/>
      <w:keepLines/>
      <w:overflowPunct w:val="0"/>
      <w:adjustRightInd w:val="0"/>
      <w:jc w:val="left"/>
      <w:textAlignment w:val="baseline"/>
      <w:outlineLvl w:val="1"/>
    </w:pPr>
    <w:rPr>
      <w:rFonts w:ascii="宋体" w:hAnsi="宋体" w:eastAsia="楷体_GB2312"/>
      <w:b/>
      <w:sz w:val="26"/>
      <w:szCs w:val="20"/>
    </w:rPr>
  </w:style>
  <w:style w:type="paragraph" w:styleId="6">
    <w:name w:val="heading 3"/>
    <w:basedOn w:val="1"/>
    <w:next w:val="1"/>
    <w:link w:val="580"/>
    <w:qFormat/>
    <w:uiPriority w:val="0"/>
    <w:pPr>
      <w:keepNext/>
      <w:keepLines/>
      <w:adjustRightInd w:val="0"/>
      <w:jc w:val="left"/>
      <w:textAlignment w:val="baseline"/>
      <w:outlineLvl w:val="2"/>
    </w:pPr>
    <w:rPr>
      <w:rFonts w:eastAsia="楷体_GB2312"/>
      <w:b/>
      <w:sz w:val="26"/>
      <w:szCs w:val="20"/>
    </w:rPr>
  </w:style>
  <w:style w:type="paragraph" w:styleId="7">
    <w:name w:val="heading 4"/>
    <w:basedOn w:val="1"/>
    <w:next w:val="1"/>
    <w:link w:val="73"/>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4"/>
    <w:qFormat/>
    <w:uiPriority w:val="0"/>
    <w:pPr>
      <w:keepNext/>
      <w:keepLines/>
      <w:spacing w:before="280" w:after="290" w:line="376" w:lineRule="auto"/>
      <w:outlineLvl w:val="4"/>
    </w:pPr>
    <w:rPr>
      <w:rFonts w:ascii="Calibri" w:hAnsi="Calibri" w:eastAsia="仿宋"/>
      <w:b/>
      <w:bCs/>
      <w:sz w:val="28"/>
      <w:szCs w:val="28"/>
    </w:rPr>
  </w:style>
  <w:style w:type="paragraph" w:styleId="9">
    <w:name w:val="heading 6"/>
    <w:basedOn w:val="1"/>
    <w:next w:val="1"/>
    <w:link w:val="75"/>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7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7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8"/>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55">
    <w:name w:val="Default Paragraph Font"/>
    <w:semiHidden/>
    <w:unhideWhenUsed/>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7"/>
    <w:qFormat/>
    <w:uiPriority w:val="0"/>
    <w:rPr>
      <w:rFonts w:ascii="楷体_GB2312" w:hAnsi="Arial" w:eastAsia="楷体_GB2312"/>
      <w:sz w:val="28"/>
      <w:szCs w:val="28"/>
    </w:rPr>
  </w:style>
  <w:style w:type="paragraph" w:styleId="3">
    <w:name w:val="Body Text 2"/>
    <w:basedOn w:val="1"/>
    <w:next w:val="2"/>
    <w:link w:val="235"/>
    <w:qFormat/>
    <w:uiPriority w:val="0"/>
    <w:pPr>
      <w:widowControl/>
      <w:jc w:val="center"/>
    </w:pPr>
    <w:rPr>
      <w:rFonts w:ascii="楷体_GB2312" w:eastAsia="楷体_GB2312"/>
      <w:sz w:val="28"/>
      <w:szCs w:val="28"/>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39"/>
    <w:pPr>
      <w:ind w:left="1260"/>
      <w:jc w:val="left"/>
    </w:pPr>
  </w:style>
  <w:style w:type="paragraph" w:styleId="15">
    <w:name w:val="List Number 2"/>
    <w:basedOn w:val="1"/>
    <w:qFormat/>
    <w:uiPriority w:val="0"/>
    <w:pPr>
      <w:tabs>
        <w:tab w:val="left" w:pos="400"/>
        <w:tab w:val="left" w:pos="840"/>
      </w:tabs>
      <w:adjustRightInd w:val="0"/>
      <w:ind w:firstLine="400"/>
      <w:jc w:val="left"/>
    </w:pPr>
    <w:rPr>
      <w:kern w:val="0"/>
    </w:rPr>
  </w:style>
  <w:style w:type="paragraph" w:styleId="16">
    <w:name w:val="List Number"/>
    <w:basedOn w:val="1"/>
    <w:link w:val="169"/>
    <w:qFormat/>
    <w:uiPriority w:val="0"/>
    <w:pPr>
      <w:widowControl/>
      <w:tabs>
        <w:tab w:val="left" w:pos="400"/>
      </w:tabs>
      <w:adjustRightInd w:val="0"/>
      <w:ind w:firstLine="400"/>
      <w:jc w:val="left"/>
    </w:pPr>
    <w:rPr>
      <w:rFonts w:ascii="宋体"/>
      <w:kern w:val="0"/>
    </w:rPr>
  </w:style>
  <w:style w:type="paragraph" w:styleId="17">
    <w:name w:val="Normal Indent"/>
    <w:basedOn w:val="1"/>
    <w:link w:val="79"/>
    <w:qFormat/>
    <w:uiPriority w:val="99"/>
    <w:pPr>
      <w:adjustRightInd w:val="0"/>
      <w:spacing w:line="360" w:lineRule="atLeast"/>
      <w:ind w:firstLine="482"/>
      <w:textAlignment w:val="baseline"/>
    </w:pPr>
    <w:rPr>
      <w:kern w:val="0"/>
      <w:sz w:val="24"/>
    </w:rPr>
  </w:style>
  <w:style w:type="paragraph" w:styleId="18">
    <w:name w:val="caption"/>
    <w:basedOn w:val="1"/>
    <w:next w:val="1"/>
    <w:qFormat/>
    <w:uiPriority w:val="0"/>
    <w:rPr>
      <w:rFonts w:ascii="Cambria" w:hAnsi="Cambria" w:eastAsia="黑体"/>
      <w:sz w:val="20"/>
      <w:szCs w:val="20"/>
    </w:rPr>
  </w:style>
  <w:style w:type="paragraph" w:styleId="19">
    <w:name w:val="List Bullet"/>
    <w:basedOn w:val="1"/>
    <w:qFormat/>
    <w:uiPriority w:val="0"/>
    <w:pPr>
      <w:widowControl/>
      <w:tabs>
        <w:tab w:val="left" w:pos="480"/>
        <w:tab w:val="left" w:pos="720"/>
        <w:tab w:val="left" w:pos="900"/>
      </w:tabs>
      <w:spacing w:line="360" w:lineRule="auto"/>
      <w:ind w:left="480" w:hanging="480"/>
    </w:pPr>
    <w:rPr>
      <w:rFonts w:ascii="Arial" w:hAnsi="Arial"/>
      <w:kern w:val="0"/>
      <w:lang w:val="en-GB"/>
    </w:rPr>
  </w:style>
  <w:style w:type="paragraph" w:styleId="20">
    <w:name w:val="Document Map"/>
    <w:basedOn w:val="1"/>
    <w:link w:val="228"/>
    <w:qFormat/>
    <w:uiPriority w:val="99"/>
    <w:pPr>
      <w:shd w:val="clear" w:color="auto" w:fill="000080"/>
    </w:pPr>
  </w:style>
  <w:style w:type="paragraph" w:styleId="21">
    <w:name w:val="toa heading"/>
    <w:basedOn w:val="1"/>
    <w:next w:val="1"/>
    <w:qFormat/>
    <w:uiPriority w:val="0"/>
    <w:pPr>
      <w:adjustRightInd w:val="0"/>
      <w:spacing w:before="120" w:line="312" w:lineRule="atLeast"/>
      <w:textAlignment w:val="baseline"/>
    </w:pPr>
    <w:rPr>
      <w:rFonts w:ascii="Arial" w:hAnsi="Arial"/>
      <w:b/>
      <w:kern w:val="0"/>
      <w:sz w:val="24"/>
      <w:szCs w:val="24"/>
    </w:rPr>
  </w:style>
  <w:style w:type="paragraph" w:styleId="22">
    <w:name w:val="annotation text"/>
    <w:basedOn w:val="1"/>
    <w:link w:val="224"/>
    <w:unhideWhenUsed/>
    <w:qFormat/>
    <w:uiPriority w:val="99"/>
    <w:pPr>
      <w:jc w:val="left"/>
    </w:pPr>
  </w:style>
  <w:style w:type="paragraph" w:styleId="23">
    <w:name w:val="Body Text 3"/>
    <w:basedOn w:val="1"/>
    <w:link w:val="238"/>
    <w:qFormat/>
    <w:uiPriority w:val="0"/>
    <w:rPr>
      <w:rFonts w:ascii="仿宋_GB2312" w:hAnsi="Arial" w:eastAsia="仿宋_GB2312"/>
      <w:sz w:val="32"/>
      <w:szCs w:val="32"/>
    </w:rPr>
  </w:style>
  <w:style w:type="paragraph" w:styleId="24">
    <w:name w:val="Body Text Indent"/>
    <w:basedOn w:val="1"/>
    <w:link w:val="230"/>
    <w:unhideWhenUsed/>
    <w:qFormat/>
    <w:uiPriority w:val="0"/>
    <w:pPr>
      <w:spacing w:after="120"/>
      <w:ind w:left="420" w:leftChars="200"/>
    </w:pPr>
  </w:style>
  <w:style w:type="paragraph" w:styleId="25">
    <w:name w:val="List Number 3"/>
    <w:basedOn w:val="1"/>
    <w:qFormat/>
    <w:uiPriority w:val="0"/>
    <w:pPr>
      <w:widowControl/>
      <w:tabs>
        <w:tab w:val="left" w:pos="400"/>
        <w:tab w:val="left" w:pos="1260"/>
      </w:tabs>
      <w:ind w:firstLine="400"/>
      <w:jc w:val="left"/>
    </w:pPr>
    <w:rPr>
      <w:rFonts w:ascii="宋体"/>
      <w:kern w:val="0"/>
    </w:rPr>
  </w:style>
  <w:style w:type="paragraph" w:styleId="26">
    <w:name w:val="List 2"/>
    <w:basedOn w:val="1"/>
    <w:qFormat/>
    <w:uiPriority w:val="0"/>
    <w:pPr>
      <w:ind w:left="100" w:leftChars="200" w:hanging="200" w:hangingChars="200"/>
    </w:pPr>
  </w:style>
  <w:style w:type="paragraph" w:styleId="27">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28">
    <w:name w:val="List Bullet 2"/>
    <w:basedOn w:val="1"/>
    <w:qFormat/>
    <w:uiPriority w:val="0"/>
    <w:pPr>
      <w:tabs>
        <w:tab w:val="left" w:pos="780"/>
        <w:tab w:val="left" w:pos="810"/>
      </w:tabs>
      <w:ind w:left="810" w:hanging="810"/>
      <w:contextualSpacing/>
    </w:pPr>
    <w:rPr>
      <w:szCs w:val="24"/>
    </w:rPr>
  </w:style>
  <w:style w:type="paragraph" w:styleId="29">
    <w:name w:val="toc 5"/>
    <w:basedOn w:val="1"/>
    <w:next w:val="1"/>
    <w:qFormat/>
    <w:uiPriority w:val="39"/>
    <w:pPr>
      <w:ind w:left="840"/>
      <w:jc w:val="left"/>
    </w:pPr>
  </w:style>
  <w:style w:type="paragraph" w:styleId="30">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31">
    <w:name w:val="Plain Text"/>
    <w:basedOn w:val="1"/>
    <w:link w:val="89"/>
    <w:qFormat/>
    <w:uiPriority w:val="0"/>
    <w:rPr>
      <w:rFonts w:ascii="宋体" w:hAnsi="Courier New" w:cs="Courier New"/>
    </w:rPr>
  </w:style>
  <w:style w:type="paragraph" w:styleId="32">
    <w:name w:val="toc 8"/>
    <w:basedOn w:val="1"/>
    <w:next w:val="1"/>
    <w:qFormat/>
    <w:uiPriority w:val="39"/>
    <w:pPr>
      <w:ind w:left="1470"/>
      <w:jc w:val="left"/>
    </w:pPr>
  </w:style>
  <w:style w:type="paragraph" w:styleId="33">
    <w:name w:val="Date"/>
    <w:basedOn w:val="1"/>
    <w:next w:val="1"/>
    <w:link w:val="229"/>
    <w:qFormat/>
    <w:uiPriority w:val="0"/>
    <w:rPr>
      <w:sz w:val="24"/>
      <w:szCs w:val="24"/>
    </w:rPr>
  </w:style>
  <w:style w:type="paragraph" w:styleId="34">
    <w:name w:val="Body Text Indent 2"/>
    <w:basedOn w:val="1"/>
    <w:link w:val="237"/>
    <w:qFormat/>
    <w:uiPriority w:val="0"/>
    <w:pPr>
      <w:ind w:left="630" w:firstLine="645"/>
    </w:pPr>
    <w:rPr>
      <w:rFonts w:ascii="Arial" w:hAnsi="Arial" w:eastAsia="仿宋_GB2312" w:cs="Arial"/>
      <w:sz w:val="32"/>
      <w:szCs w:val="32"/>
    </w:rPr>
  </w:style>
  <w:style w:type="paragraph" w:styleId="35">
    <w:name w:val="Balloon Text"/>
    <w:basedOn w:val="1"/>
    <w:link w:val="223"/>
    <w:qFormat/>
    <w:uiPriority w:val="99"/>
    <w:rPr>
      <w:sz w:val="18"/>
      <w:szCs w:val="18"/>
    </w:rPr>
  </w:style>
  <w:style w:type="paragraph" w:styleId="36">
    <w:name w:val="footer"/>
    <w:basedOn w:val="1"/>
    <w:link w:val="87"/>
    <w:unhideWhenUsed/>
    <w:qFormat/>
    <w:uiPriority w:val="99"/>
    <w:pPr>
      <w:tabs>
        <w:tab w:val="center" w:pos="4153"/>
        <w:tab w:val="right" w:pos="8306"/>
      </w:tabs>
      <w:snapToGrid w:val="0"/>
      <w:jc w:val="left"/>
    </w:pPr>
    <w:rPr>
      <w:sz w:val="18"/>
      <w:szCs w:val="18"/>
    </w:rPr>
  </w:style>
  <w:style w:type="paragraph" w:styleId="37">
    <w:name w:val="header"/>
    <w:basedOn w:val="1"/>
    <w:link w:val="86"/>
    <w:unhideWhenUsed/>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link w:val="115"/>
    <w:qFormat/>
    <w:uiPriority w:val="39"/>
    <w:pPr>
      <w:spacing w:before="360"/>
      <w:jc w:val="left"/>
    </w:pPr>
    <w:rPr>
      <w:rFonts w:ascii="Arial" w:hAnsi="Arial" w:cs="Arial"/>
      <w:b/>
      <w:bCs/>
      <w:caps/>
      <w:sz w:val="24"/>
    </w:rPr>
  </w:style>
  <w:style w:type="paragraph" w:styleId="39">
    <w:name w:val="toc 4"/>
    <w:basedOn w:val="1"/>
    <w:next w:val="1"/>
    <w:link w:val="572"/>
    <w:qFormat/>
    <w:uiPriority w:val="39"/>
    <w:pPr>
      <w:ind w:left="630"/>
      <w:jc w:val="left"/>
    </w:pPr>
  </w:style>
  <w:style w:type="paragraph" w:styleId="40">
    <w:name w:val="Subtitle"/>
    <w:basedOn w:val="1"/>
    <w:next w:val="1"/>
    <w:link w:val="236"/>
    <w:qFormat/>
    <w:uiPriority w:val="11"/>
    <w:pPr>
      <w:widowControl/>
      <w:spacing w:after="600" w:line="276" w:lineRule="auto"/>
      <w:jc w:val="left"/>
    </w:pPr>
    <w:rPr>
      <w:rFonts w:ascii="Cambria" w:hAnsi="Cambria"/>
      <w:i/>
      <w:iCs/>
      <w:spacing w:val="13"/>
      <w:kern w:val="0"/>
      <w:sz w:val="24"/>
      <w:szCs w:val="24"/>
      <w:lang w:eastAsia="en-US" w:bidi="en-US"/>
    </w:rPr>
  </w:style>
  <w:style w:type="paragraph" w:styleId="41">
    <w:name w:val="List"/>
    <w:basedOn w:val="1"/>
    <w:qFormat/>
    <w:uiPriority w:val="0"/>
    <w:pPr>
      <w:ind w:left="200" w:hanging="200" w:hangingChars="200"/>
    </w:pPr>
  </w:style>
  <w:style w:type="paragraph" w:styleId="42">
    <w:name w:val="toc 6"/>
    <w:basedOn w:val="1"/>
    <w:next w:val="1"/>
    <w:link w:val="573"/>
    <w:qFormat/>
    <w:uiPriority w:val="39"/>
    <w:pPr>
      <w:ind w:left="1050"/>
      <w:jc w:val="left"/>
    </w:pPr>
  </w:style>
  <w:style w:type="paragraph" w:styleId="43">
    <w:name w:val="Body Text Indent 3"/>
    <w:basedOn w:val="1"/>
    <w:link w:val="226"/>
    <w:qFormat/>
    <w:uiPriority w:val="0"/>
    <w:pPr>
      <w:ind w:left="645" w:firstLine="645"/>
    </w:pPr>
    <w:rPr>
      <w:rFonts w:ascii="Arial" w:hAnsi="Arial" w:eastAsia="仿宋_GB2312" w:cs="Arial"/>
      <w:color w:val="FFFF00"/>
      <w:sz w:val="32"/>
      <w:szCs w:val="32"/>
    </w:rPr>
  </w:style>
  <w:style w:type="paragraph" w:styleId="44">
    <w:name w:val="table of figures"/>
    <w:basedOn w:val="1"/>
    <w:next w:val="1"/>
    <w:semiHidden/>
    <w:qFormat/>
    <w:uiPriority w:val="0"/>
    <w:pPr>
      <w:ind w:left="840" w:hanging="420"/>
    </w:pPr>
  </w:style>
  <w:style w:type="paragraph" w:styleId="45">
    <w:name w:val="toc 2"/>
    <w:basedOn w:val="1"/>
    <w:next w:val="1"/>
    <w:qFormat/>
    <w:uiPriority w:val="39"/>
    <w:pPr>
      <w:spacing w:before="240"/>
      <w:jc w:val="left"/>
    </w:pPr>
    <w:rPr>
      <w:b/>
      <w:bCs/>
      <w:sz w:val="20"/>
      <w:szCs w:val="20"/>
    </w:rPr>
  </w:style>
  <w:style w:type="paragraph" w:styleId="46">
    <w:name w:val="toc 9"/>
    <w:basedOn w:val="1"/>
    <w:next w:val="1"/>
    <w:qFormat/>
    <w:uiPriority w:val="39"/>
    <w:pPr>
      <w:ind w:left="1680"/>
      <w:jc w:val="left"/>
    </w:pPr>
  </w:style>
  <w:style w:type="paragraph" w:styleId="4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8">
    <w:name w:val="index 1"/>
    <w:basedOn w:val="1"/>
    <w:next w:val="1"/>
    <w:semiHidden/>
    <w:qFormat/>
    <w:uiPriority w:val="0"/>
    <w:pPr>
      <w:spacing w:line="240" w:lineRule="atLeast"/>
    </w:pPr>
    <w:rPr>
      <w:b/>
      <w:bCs/>
    </w:rPr>
  </w:style>
  <w:style w:type="paragraph" w:styleId="49">
    <w:name w:val="Title"/>
    <w:basedOn w:val="1"/>
    <w:next w:val="1"/>
    <w:link w:val="80"/>
    <w:qFormat/>
    <w:uiPriority w:val="10"/>
    <w:pPr>
      <w:spacing w:before="240" w:after="60"/>
      <w:jc w:val="center"/>
      <w:outlineLvl w:val="0"/>
    </w:pPr>
    <w:rPr>
      <w:rFonts w:ascii="Cambria" w:hAnsi="Cambria"/>
      <w:b/>
      <w:bCs/>
      <w:sz w:val="32"/>
      <w:szCs w:val="32"/>
    </w:rPr>
  </w:style>
  <w:style w:type="paragraph" w:styleId="50">
    <w:name w:val="annotation subject"/>
    <w:basedOn w:val="22"/>
    <w:next w:val="22"/>
    <w:link w:val="225"/>
    <w:qFormat/>
    <w:uiPriority w:val="0"/>
    <w:rPr>
      <w:b/>
      <w:bCs/>
    </w:rPr>
  </w:style>
  <w:style w:type="paragraph" w:styleId="51">
    <w:name w:val="Body Text First Indent"/>
    <w:basedOn w:val="1"/>
    <w:link w:val="234"/>
    <w:qFormat/>
    <w:uiPriority w:val="0"/>
    <w:pPr>
      <w:spacing w:line="360" w:lineRule="auto"/>
      <w:ind w:firstLine="200" w:firstLineChars="200"/>
    </w:pPr>
    <w:rPr>
      <w:rFonts w:ascii="仿宋_GB2312" w:eastAsia="仿宋_GB2312"/>
      <w:sz w:val="30"/>
      <w:szCs w:val="30"/>
    </w:rPr>
  </w:style>
  <w:style w:type="paragraph" w:styleId="52">
    <w:name w:val="Body Text First Indent 2"/>
    <w:basedOn w:val="24"/>
    <w:link w:val="231"/>
    <w:qFormat/>
    <w:uiPriority w:val="0"/>
    <w:pPr>
      <w:spacing w:after="0" w:line="360" w:lineRule="auto"/>
      <w:ind w:left="0" w:leftChars="0" w:firstLine="420" w:firstLineChars="200"/>
    </w:pPr>
    <w:rPr>
      <w:rFonts w:ascii="宋体" w:hAnsi="宋体"/>
      <w:szCs w:val="20"/>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qFormat/>
    <w:uiPriority w:val="99"/>
    <w:rPr>
      <w:color w:val="800080"/>
      <w:u w:val="single"/>
    </w:rPr>
  </w:style>
  <w:style w:type="character" w:styleId="59">
    <w:name w:val="Emphasis"/>
    <w:qFormat/>
    <w:uiPriority w:val="0"/>
    <w:rPr>
      <w:rFonts w:ascii="Arial" w:hAnsi="Arial"/>
      <w:b/>
      <w:spacing w:val="-10"/>
      <w:sz w:val="18"/>
      <w:lang w:eastAsia="zh-CN"/>
    </w:rPr>
  </w:style>
  <w:style w:type="character" w:styleId="60">
    <w:name w:val="HTML Definition"/>
    <w:basedOn w:val="55"/>
    <w:semiHidden/>
    <w:unhideWhenUsed/>
    <w:qFormat/>
    <w:uiPriority w:val="99"/>
  </w:style>
  <w:style w:type="character" w:styleId="61">
    <w:name w:val="HTML Typewriter"/>
    <w:basedOn w:val="55"/>
    <w:semiHidden/>
    <w:unhideWhenUsed/>
    <w:qFormat/>
    <w:uiPriority w:val="99"/>
    <w:rPr>
      <w:rFonts w:hint="default" w:ascii="monospace" w:hAnsi="monospace" w:eastAsia="monospace" w:cs="monospace"/>
      <w:sz w:val="20"/>
    </w:rPr>
  </w:style>
  <w:style w:type="character" w:styleId="62">
    <w:name w:val="HTML Acronym"/>
    <w:basedOn w:val="55"/>
    <w:semiHidden/>
    <w:unhideWhenUsed/>
    <w:qFormat/>
    <w:uiPriority w:val="99"/>
  </w:style>
  <w:style w:type="character" w:styleId="63">
    <w:name w:val="HTML Variable"/>
    <w:basedOn w:val="55"/>
    <w:semiHidden/>
    <w:unhideWhenUsed/>
    <w:qFormat/>
    <w:uiPriority w:val="99"/>
  </w:style>
  <w:style w:type="character" w:styleId="64">
    <w:name w:val="Hyperlink"/>
    <w:basedOn w:val="55"/>
    <w:qFormat/>
    <w:uiPriority w:val="99"/>
    <w:rPr>
      <w:color w:val="0000FF"/>
      <w:u w:val="single"/>
    </w:rPr>
  </w:style>
  <w:style w:type="character" w:styleId="65">
    <w:name w:val="HTML Code"/>
    <w:basedOn w:val="55"/>
    <w:semiHidden/>
    <w:unhideWhenUsed/>
    <w:qFormat/>
    <w:uiPriority w:val="99"/>
    <w:rPr>
      <w:rFonts w:hint="default" w:ascii="monospace" w:hAnsi="monospace" w:eastAsia="monospace" w:cs="monospace"/>
      <w:sz w:val="20"/>
    </w:rPr>
  </w:style>
  <w:style w:type="character" w:styleId="66">
    <w:name w:val="annotation reference"/>
    <w:qFormat/>
    <w:uiPriority w:val="0"/>
    <w:rPr>
      <w:sz w:val="21"/>
      <w:szCs w:val="21"/>
    </w:rPr>
  </w:style>
  <w:style w:type="character" w:styleId="67">
    <w:name w:val="HTML Cite"/>
    <w:basedOn w:val="55"/>
    <w:semiHidden/>
    <w:unhideWhenUsed/>
    <w:qFormat/>
    <w:uiPriority w:val="99"/>
    <w:rPr>
      <w:vertAlign w:val="baseline"/>
    </w:rPr>
  </w:style>
  <w:style w:type="character" w:styleId="68">
    <w:name w:val="HTML Keyboard"/>
    <w:basedOn w:val="55"/>
    <w:semiHidden/>
    <w:unhideWhenUsed/>
    <w:qFormat/>
    <w:uiPriority w:val="99"/>
    <w:rPr>
      <w:rFonts w:hint="default" w:ascii="monospace" w:hAnsi="monospace" w:eastAsia="monospace" w:cs="monospace"/>
      <w:sz w:val="20"/>
    </w:rPr>
  </w:style>
  <w:style w:type="character" w:styleId="69">
    <w:name w:val="HTML Sample"/>
    <w:basedOn w:val="55"/>
    <w:semiHidden/>
    <w:unhideWhenUsed/>
    <w:qFormat/>
    <w:uiPriority w:val="99"/>
    <w:rPr>
      <w:rFonts w:ascii="monospace" w:hAnsi="monospace" w:eastAsia="monospace" w:cs="monospace"/>
    </w:rPr>
  </w:style>
  <w:style w:type="character" w:customStyle="1" w:styleId="70">
    <w:name w:val="标题 1 Char"/>
    <w:basedOn w:val="55"/>
    <w:link w:val="4"/>
    <w:qFormat/>
    <w:uiPriority w:val="0"/>
    <w:rPr>
      <w:rFonts w:eastAsia="楷体_GB2312"/>
      <w:b/>
      <w:kern w:val="44"/>
      <w:sz w:val="44"/>
    </w:rPr>
  </w:style>
  <w:style w:type="character" w:customStyle="1" w:styleId="71">
    <w:name w:val="标题 2 Char"/>
    <w:basedOn w:val="55"/>
    <w:link w:val="5"/>
    <w:qFormat/>
    <w:uiPriority w:val="0"/>
    <w:rPr>
      <w:rFonts w:ascii="宋体" w:hAnsi="宋体" w:eastAsia="楷体_GB2312"/>
      <w:b/>
      <w:kern w:val="2"/>
      <w:sz w:val="26"/>
    </w:rPr>
  </w:style>
  <w:style w:type="character" w:customStyle="1" w:styleId="72">
    <w:name w:val="标题 3 字符"/>
    <w:basedOn w:val="55"/>
    <w:link w:val="6"/>
    <w:qFormat/>
    <w:uiPriority w:val="0"/>
    <w:rPr>
      <w:rFonts w:eastAsia="楷体_GB2312"/>
      <w:b/>
      <w:kern w:val="2"/>
      <w:sz w:val="26"/>
    </w:rPr>
  </w:style>
  <w:style w:type="character" w:customStyle="1" w:styleId="73">
    <w:name w:val="标题 4 Char"/>
    <w:basedOn w:val="55"/>
    <w:link w:val="7"/>
    <w:qFormat/>
    <w:uiPriority w:val="0"/>
    <w:rPr>
      <w:rFonts w:ascii="Arial" w:hAnsi="Arial" w:eastAsia="黑体"/>
      <w:b/>
      <w:bCs/>
      <w:kern w:val="2"/>
      <w:sz w:val="28"/>
      <w:szCs w:val="28"/>
    </w:rPr>
  </w:style>
  <w:style w:type="character" w:customStyle="1" w:styleId="74">
    <w:name w:val="标题 5 Char"/>
    <w:basedOn w:val="55"/>
    <w:link w:val="8"/>
    <w:qFormat/>
    <w:uiPriority w:val="0"/>
    <w:rPr>
      <w:rFonts w:ascii="Calibri" w:hAnsi="Calibri" w:eastAsia="仿宋"/>
      <w:b/>
      <w:bCs/>
      <w:kern w:val="2"/>
      <w:sz w:val="28"/>
      <w:szCs w:val="28"/>
    </w:rPr>
  </w:style>
  <w:style w:type="character" w:customStyle="1" w:styleId="75">
    <w:name w:val="标题 6 Char"/>
    <w:basedOn w:val="55"/>
    <w:link w:val="9"/>
    <w:qFormat/>
    <w:uiPriority w:val="0"/>
    <w:rPr>
      <w:rFonts w:ascii="Arial" w:hAnsi="Arial" w:eastAsia="黑体"/>
      <w:b/>
      <w:bCs/>
      <w:kern w:val="2"/>
      <w:sz w:val="24"/>
      <w:szCs w:val="24"/>
    </w:rPr>
  </w:style>
  <w:style w:type="character" w:customStyle="1" w:styleId="76">
    <w:name w:val="标题 7 Char"/>
    <w:basedOn w:val="55"/>
    <w:link w:val="10"/>
    <w:qFormat/>
    <w:uiPriority w:val="0"/>
    <w:rPr>
      <w:b/>
      <w:bCs/>
      <w:kern w:val="2"/>
      <w:sz w:val="24"/>
      <w:szCs w:val="24"/>
    </w:rPr>
  </w:style>
  <w:style w:type="character" w:customStyle="1" w:styleId="77">
    <w:name w:val="标题 8 Char"/>
    <w:basedOn w:val="55"/>
    <w:link w:val="11"/>
    <w:qFormat/>
    <w:uiPriority w:val="0"/>
    <w:rPr>
      <w:rFonts w:ascii="Arial" w:hAnsi="Arial" w:eastAsia="黑体"/>
      <w:kern w:val="2"/>
      <w:sz w:val="24"/>
      <w:szCs w:val="24"/>
    </w:rPr>
  </w:style>
  <w:style w:type="character" w:customStyle="1" w:styleId="78">
    <w:name w:val="标题 9 Char"/>
    <w:basedOn w:val="55"/>
    <w:link w:val="12"/>
    <w:qFormat/>
    <w:uiPriority w:val="0"/>
    <w:rPr>
      <w:rFonts w:ascii="Arial" w:hAnsi="Arial" w:eastAsia="黑体"/>
      <w:kern w:val="2"/>
      <w:sz w:val="21"/>
      <w:szCs w:val="21"/>
    </w:rPr>
  </w:style>
  <w:style w:type="character" w:customStyle="1" w:styleId="79">
    <w:name w:val="正文缩进 Char"/>
    <w:link w:val="17"/>
    <w:qFormat/>
    <w:uiPriority w:val="99"/>
    <w:rPr>
      <w:sz w:val="24"/>
      <w:szCs w:val="24"/>
    </w:rPr>
  </w:style>
  <w:style w:type="character" w:customStyle="1" w:styleId="80">
    <w:name w:val="标题 Char"/>
    <w:basedOn w:val="55"/>
    <w:link w:val="49"/>
    <w:qFormat/>
    <w:uiPriority w:val="10"/>
    <w:rPr>
      <w:rFonts w:ascii="Cambria" w:hAnsi="Cambria"/>
      <w:b/>
      <w:bCs/>
      <w:kern w:val="2"/>
      <w:sz w:val="32"/>
      <w:szCs w:val="32"/>
    </w:rPr>
  </w:style>
  <w:style w:type="paragraph" w:styleId="81">
    <w:name w:val="No Spacing"/>
    <w:link w:val="82"/>
    <w:qFormat/>
    <w:uiPriority w:val="0"/>
    <w:rPr>
      <w:rFonts w:ascii="Calibri" w:hAnsi="Calibri" w:eastAsia="宋体" w:cs="Times New Roman"/>
      <w:sz w:val="22"/>
      <w:szCs w:val="22"/>
      <w:lang w:val="en-US" w:eastAsia="zh-CN" w:bidi="ar-SA"/>
    </w:rPr>
  </w:style>
  <w:style w:type="character" w:customStyle="1" w:styleId="82">
    <w:name w:val="无间隔 Char"/>
    <w:basedOn w:val="55"/>
    <w:link w:val="81"/>
    <w:qFormat/>
    <w:uiPriority w:val="0"/>
    <w:rPr>
      <w:rFonts w:ascii="Calibri" w:hAnsi="Calibri"/>
      <w:sz w:val="22"/>
      <w:szCs w:val="22"/>
    </w:rPr>
  </w:style>
  <w:style w:type="paragraph" w:styleId="83">
    <w:name w:val="List Paragraph"/>
    <w:basedOn w:val="1"/>
    <w:qFormat/>
    <w:uiPriority w:val="34"/>
    <w:pPr>
      <w:ind w:firstLine="420" w:firstLineChars="200"/>
    </w:pPr>
    <w:rPr>
      <w:rFonts w:ascii="Calibri" w:hAnsi="Calibri"/>
      <w:szCs w:val="22"/>
    </w:rPr>
  </w:style>
  <w:style w:type="paragraph" w:customStyle="1" w:styleId="84">
    <w:name w:val="TOC 标题1"/>
    <w:basedOn w:val="4"/>
    <w:next w:val="1"/>
    <w:qFormat/>
    <w:uiPriority w:val="0"/>
    <w:pPr>
      <w:widowControl/>
      <w:spacing w:before="480" w:after="0" w:line="276" w:lineRule="auto"/>
      <w:jc w:val="left"/>
      <w:outlineLvl w:val="9"/>
    </w:pPr>
    <w:rPr>
      <w:rFonts w:ascii="Cambria" w:hAnsi="Cambria" w:eastAsia="宋体"/>
      <w:bCs/>
      <w:color w:val="365F91"/>
      <w:kern w:val="0"/>
      <w:sz w:val="28"/>
      <w:szCs w:val="28"/>
    </w:rPr>
  </w:style>
  <w:style w:type="paragraph" w:customStyle="1" w:styleId="85">
    <w:name w:val="列出段落3"/>
    <w:basedOn w:val="1"/>
    <w:qFormat/>
    <w:uiPriority w:val="0"/>
    <w:pPr>
      <w:ind w:firstLine="420" w:firstLineChars="200"/>
    </w:pPr>
    <w:rPr>
      <w:rFonts w:ascii="Calibri" w:hAnsi="Calibri"/>
      <w:kern w:val="0"/>
      <w:sz w:val="20"/>
      <w:szCs w:val="20"/>
    </w:rPr>
  </w:style>
  <w:style w:type="character" w:customStyle="1" w:styleId="86">
    <w:name w:val="页眉 Char"/>
    <w:basedOn w:val="55"/>
    <w:link w:val="37"/>
    <w:qFormat/>
    <w:uiPriority w:val="99"/>
    <w:rPr>
      <w:kern w:val="2"/>
      <w:sz w:val="18"/>
      <w:szCs w:val="18"/>
    </w:rPr>
  </w:style>
  <w:style w:type="character" w:customStyle="1" w:styleId="87">
    <w:name w:val="页脚 Char"/>
    <w:basedOn w:val="55"/>
    <w:link w:val="36"/>
    <w:qFormat/>
    <w:uiPriority w:val="99"/>
    <w:rPr>
      <w:kern w:val="2"/>
      <w:sz w:val="18"/>
      <w:szCs w:val="18"/>
    </w:rPr>
  </w:style>
  <w:style w:type="character" w:customStyle="1" w:styleId="88">
    <w:name w:val="书籍标题1"/>
    <w:qFormat/>
    <w:uiPriority w:val="0"/>
    <w:rPr>
      <w:i/>
      <w:iCs/>
      <w:smallCaps/>
      <w:spacing w:val="5"/>
    </w:rPr>
  </w:style>
  <w:style w:type="character" w:customStyle="1" w:styleId="89">
    <w:name w:val="纯文本 Char"/>
    <w:link w:val="31"/>
    <w:qFormat/>
    <w:uiPriority w:val="0"/>
    <w:rPr>
      <w:rFonts w:ascii="宋体" w:hAnsi="Courier New" w:cs="Courier New"/>
      <w:kern w:val="2"/>
      <w:sz w:val="21"/>
      <w:szCs w:val="21"/>
    </w:rPr>
  </w:style>
  <w:style w:type="character" w:customStyle="1" w:styleId="90">
    <w:name w:val="日期 Char"/>
    <w:qFormat/>
    <w:uiPriority w:val="0"/>
    <w:rPr>
      <w:kern w:val="2"/>
      <w:sz w:val="24"/>
      <w:szCs w:val="24"/>
    </w:rPr>
  </w:style>
  <w:style w:type="character" w:customStyle="1" w:styleId="91">
    <w:name w:val="二级目录 Char"/>
    <w:link w:val="92"/>
    <w:qFormat/>
    <w:uiPriority w:val="0"/>
    <w:rPr>
      <w:b/>
      <w:kern w:val="2"/>
      <w:sz w:val="30"/>
      <w:szCs w:val="28"/>
    </w:rPr>
  </w:style>
  <w:style w:type="paragraph" w:customStyle="1" w:styleId="92">
    <w:name w:val="二级目录"/>
    <w:next w:val="1"/>
    <w:link w:val="91"/>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93">
    <w:name w:val="Char Char"/>
    <w:qFormat/>
    <w:uiPriority w:val="0"/>
    <w:rPr>
      <w:rFonts w:ascii="Times New Roman" w:hAnsi="Times New Roman" w:eastAsia="宋体"/>
      <w:kern w:val="2"/>
      <w:sz w:val="21"/>
      <w:szCs w:val="22"/>
      <w:lang w:val="en-US" w:eastAsia="zh-CN" w:bidi="ar-SA"/>
    </w:rPr>
  </w:style>
  <w:style w:type="character" w:customStyle="1" w:styleId="94">
    <w:name w:val="rainbow_normallink"/>
    <w:qFormat/>
    <w:uiPriority w:val="0"/>
  </w:style>
  <w:style w:type="character" w:customStyle="1" w:styleId="95">
    <w:name w:val="a0031"/>
    <w:qFormat/>
    <w:uiPriority w:val="0"/>
    <w:rPr>
      <w:rFonts w:hint="default" w:ascii="ˎ̥" w:hAnsi="ˎ̥"/>
      <w:color w:val="000000"/>
      <w:sz w:val="18"/>
      <w:szCs w:val="18"/>
    </w:rPr>
  </w:style>
  <w:style w:type="character" w:customStyle="1" w:styleId="96">
    <w:name w:val="正文首行缩进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97">
    <w:name w:val="批注主题 Char"/>
    <w:qFormat/>
    <w:uiPriority w:val="0"/>
    <w:rPr>
      <w:b/>
      <w:bCs/>
      <w:kern w:val="2"/>
      <w:sz w:val="21"/>
      <w:szCs w:val="21"/>
    </w:rPr>
  </w:style>
  <w:style w:type="character" w:customStyle="1" w:styleId="98">
    <w:name w:val="页眉 Char1"/>
    <w:semiHidden/>
    <w:qFormat/>
    <w:uiPriority w:val="99"/>
    <w:rPr>
      <w:rFonts w:ascii="Times New Roman" w:hAnsi="Times New Roman" w:eastAsia="宋体" w:cs="Times New Roman"/>
      <w:sz w:val="18"/>
      <w:szCs w:val="18"/>
    </w:rPr>
  </w:style>
  <w:style w:type="character" w:customStyle="1" w:styleId="99">
    <w:name w:val="正文文本缩进 2 Char1"/>
    <w:semiHidden/>
    <w:qFormat/>
    <w:uiPriority w:val="99"/>
    <w:rPr>
      <w:rFonts w:ascii="Times New Roman" w:hAnsi="Times New Roman" w:eastAsia="宋体" w:cs="Times New Roman"/>
      <w:szCs w:val="24"/>
    </w:rPr>
  </w:style>
  <w:style w:type="character" w:customStyle="1" w:styleId="100">
    <w:name w:val="Item List Char"/>
    <w:link w:val="101"/>
    <w:qFormat/>
    <w:uiPriority w:val="0"/>
    <w:rPr>
      <w:rFonts w:ascii="Arial" w:hAnsi="Arial"/>
      <w:sz w:val="21"/>
      <w:szCs w:val="21"/>
    </w:rPr>
  </w:style>
  <w:style w:type="paragraph" w:customStyle="1" w:styleId="101">
    <w:name w:val="Item List"/>
    <w:link w:val="100"/>
    <w:qFormat/>
    <w:uiPriority w:val="0"/>
    <w:pPr>
      <w:numPr>
        <w:ilvl w:val="0"/>
        <w:numId w:val="1"/>
      </w:numPr>
      <w:tabs>
        <w:tab w:val="left" w:pos="360"/>
      </w:tabs>
      <w:spacing w:line="300" w:lineRule="auto"/>
      <w:ind w:left="0" w:firstLine="0"/>
      <w:jc w:val="both"/>
    </w:pPr>
    <w:rPr>
      <w:rFonts w:ascii="Arial" w:hAnsi="Arial" w:eastAsia="宋体" w:cs="Times New Roman"/>
      <w:sz w:val="21"/>
      <w:szCs w:val="21"/>
      <w:lang w:val="en-US" w:eastAsia="zh-CN" w:bidi="ar-SA"/>
    </w:rPr>
  </w:style>
  <w:style w:type="character" w:customStyle="1" w:styleId="102">
    <w:name w:val="Figure Description Char"/>
    <w:link w:val="103"/>
    <w:qFormat/>
    <w:uiPriority w:val="0"/>
    <w:rPr>
      <w:rFonts w:ascii="Arial" w:hAnsi="Arial" w:eastAsia="黑体"/>
      <w:sz w:val="18"/>
      <w:szCs w:val="18"/>
    </w:rPr>
  </w:style>
  <w:style w:type="paragraph" w:customStyle="1" w:styleId="103">
    <w:name w:val="Figure Description"/>
    <w:next w:val="1"/>
    <w:link w:val="102"/>
    <w:qFormat/>
    <w:uiPriority w:val="0"/>
    <w:pPr>
      <w:snapToGrid w:val="0"/>
      <w:spacing w:before="80" w:after="320"/>
      <w:ind w:left="1134"/>
      <w:jc w:val="center"/>
    </w:pPr>
    <w:rPr>
      <w:rFonts w:ascii="Arial" w:hAnsi="Arial" w:eastAsia="黑体" w:cs="Times New Roman"/>
      <w:sz w:val="18"/>
      <w:szCs w:val="18"/>
      <w:lang w:val="en-US" w:eastAsia="zh-CN" w:bidi="ar-SA"/>
    </w:rPr>
  </w:style>
  <w:style w:type="character" w:customStyle="1" w:styleId="104">
    <w:name w:val="五级标题 Char"/>
    <w:link w:val="105"/>
    <w:qFormat/>
    <w:uiPriority w:val="0"/>
    <w:rPr>
      <w:rFonts w:ascii="Calibri" w:hAnsi="Calibri"/>
      <w:b/>
      <w:kern w:val="2"/>
      <w:sz w:val="24"/>
      <w:szCs w:val="22"/>
    </w:rPr>
  </w:style>
  <w:style w:type="paragraph" w:customStyle="1" w:styleId="105">
    <w:name w:val="五级标题"/>
    <w:basedOn w:val="1"/>
    <w:link w:val="104"/>
    <w:qFormat/>
    <w:uiPriority w:val="0"/>
    <w:pPr>
      <w:spacing w:line="360" w:lineRule="auto"/>
    </w:pPr>
    <w:rPr>
      <w:rFonts w:ascii="Calibri" w:hAnsi="Calibri"/>
      <w:b/>
      <w:sz w:val="24"/>
      <w:szCs w:val="22"/>
    </w:rPr>
  </w:style>
  <w:style w:type="character" w:customStyle="1" w:styleId="106">
    <w:name w:val="style251"/>
    <w:qFormat/>
    <w:uiPriority w:val="0"/>
    <w:rPr>
      <w:sz w:val="20"/>
      <w:szCs w:val="20"/>
    </w:rPr>
  </w:style>
  <w:style w:type="character" w:customStyle="1" w:styleId="107">
    <w:name w:val="ssss Char1"/>
    <w:link w:val="108"/>
    <w:qFormat/>
    <w:uiPriority w:val="0"/>
    <w:rPr>
      <w:kern w:val="2"/>
      <w:sz w:val="24"/>
      <w:szCs w:val="24"/>
    </w:rPr>
  </w:style>
  <w:style w:type="paragraph" w:customStyle="1" w:styleId="108">
    <w:name w:val="ssss"/>
    <w:basedOn w:val="1"/>
    <w:link w:val="107"/>
    <w:qFormat/>
    <w:uiPriority w:val="0"/>
    <w:pPr>
      <w:spacing w:line="360" w:lineRule="auto"/>
      <w:ind w:firstLine="480" w:firstLineChars="200"/>
    </w:pPr>
    <w:rPr>
      <w:sz w:val="24"/>
      <w:szCs w:val="24"/>
    </w:rPr>
  </w:style>
  <w:style w:type="character" w:customStyle="1" w:styleId="109">
    <w:name w:val="Char Char38"/>
    <w:qFormat/>
    <w:uiPriority w:val="0"/>
    <w:rPr>
      <w:rFonts w:eastAsia="宋体"/>
      <w:b/>
      <w:bCs/>
      <w:spacing w:val="-20"/>
      <w:kern w:val="2"/>
      <w:sz w:val="21"/>
      <w:szCs w:val="24"/>
      <w:lang w:val="en-US" w:eastAsia="zh-CN" w:bidi="ar-SA"/>
    </w:rPr>
  </w:style>
  <w:style w:type="character" w:customStyle="1" w:styleId="110">
    <w:name w:val="二级标题 Char"/>
    <w:link w:val="111"/>
    <w:qFormat/>
    <w:uiPriority w:val="0"/>
    <w:rPr>
      <w:rFonts w:ascii="Calibri" w:hAnsi="Calibri"/>
      <w:b/>
      <w:kern w:val="2"/>
      <w:sz w:val="24"/>
      <w:szCs w:val="22"/>
    </w:rPr>
  </w:style>
  <w:style w:type="paragraph" w:customStyle="1" w:styleId="111">
    <w:name w:val="二级标题"/>
    <w:basedOn w:val="1"/>
    <w:link w:val="110"/>
    <w:qFormat/>
    <w:uiPriority w:val="0"/>
    <w:pPr>
      <w:spacing w:line="360" w:lineRule="auto"/>
    </w:pPr>
    <w:rPr>
      <w:rFonts w:ascii="Calibri" w:hAnsi="Calibri"/>
      <w:b/>
      <w:sz w:val="24"/>
      <w:szCs w:val="22"/>
    </w:rPr>
  </w:style>
  <w:style w:type="character" w:customStyle="1" w:styleId="112">
    <w:name w:val="titletext11"/>
    <w:qFormat/>
    <w:uiPriority w:val="0"/>
    <w:rPr>
      <w:b/>
      <w:bCs/>
      <w:color w:val="C50B1E"/>
    </w:rPr>
  </w:style>
  <w:style w:type="character" w:customStyle="1" w:styleId="113">
    <w:name w:val="titletext2s1"/>
    <w:qFormat/>
    <w:uiPriority w:val="0"/>
    <w:rPr>
      <w:b/>
      <w:bCs/>
      <w:color w:val="000000"/>
    </w:rPr>
  </w:style>
  <w:style w:type="character" w:customStyle="1" w:styleId="114">
    <w:name w:val="明显参考1"/>
    <w:qFormat/>
    <w:uiPriority w:val="0"/>
    <w:rPr>
      <w:smallCaps/>
      <w:spacing w:val="5"/>
      <w:u w:val="single"/>
    </w:rPr>
  </w:style>
  <w:style w:type="character" w:customStyle="1" w:styleId="115">
    <w:name w:val="目录 1 Char"/>
    <w:link w:val="38"/>
    <w:qFormat/>
    <w:uiPriority w:val="0"/>
    <w:rPr>
      <w:rFonts w:ascii="Arial" w:hAnsi="Arial" w:cs="Arial"/>
      <w:b/>
      <w:bCs/>
      <w:caps/>
      <w:kern w:val="2"/>
      <w:sz w:val="24"/>
      <w:szCs w:val="24"/>
    </w:rPr>
  </w:style>
  <w:style w:type="character" w:customStyle="1" w:styleId="116">
    <w:name w:val="标题 Char1"/>
    <w:qFormat/>
    <w:uiPriority w:val="10"/>
    <w:rPr>
      <w:rFonts w:ascii="Cambria" w:hAnsi="Cambria" w:eastAsia="宋体" w:cs="Times New Roman"/>
      <w:b/>
      <w:bCs/>
      <w:sz w:val="32"/>
      <w:szCs w:val="32"/>
    </w:rPr>
  </w:style>
  <w:style w:type="character" w:customStyle="1" w:styleId="117">
    <w:name w:val="Table Text Char"/>
    <w:link w:val="118"/>
    <w:qFormat/>
    <w:locked/>
    <w:uiPriority w:val="0"/>
    <w:rPr>
      <w:rFonts w:ascii="Arial" w:hAnsi="Arial"/>
      <w:color w:val="000000"/>
      <w:kern w:val="2"/>
      <w:sz w:val="18"/>
      <w:szCs w:val="21"/>
    </w:rPr>
  </w:style>
  <w:style w:type="paragraph" w:customStyle="1" w:styleId="118">
    <w:name w:val="Table Text"/>
    <w:basedOn w:val="1"/>
    <w:link w:val="117"/>
    <w:qFormat/>
    <w:uiPriority w:val="0"/>
    <w:pPr>
      <w:widowControl/>
      <w:tabs>
        <w:tab w:val="decimal" w:pos="0"/>
      </w:tabs>
      <w:autoSpaceDE w:val="0"/>
      <w:autoSpaceDN w:val="0"/>
      <w:adjustRightInd w:val="0"/>
      <w:spacing w:before="80" w:after="80"/>
    </w:pPr>
    <w:rPr>
      <w:rFonts w:ascii="Arial" w:hAnsi="Arial"/>
      <w:color w:val="000000"/>
      <w:sz w:val="18"/>
    </w:rPr>
  </w:style>
  <w:style w:type="character" w:customStyle="1" w:styleId="119">
    <w:name w:val="Table Text Char1 Char"/>
    <w:qFormat/>
    <w:uiPriority w:val="0"/>
    <w:rPr>
      <w:rFonts w:eastAsia="宋体"/>
      <w:sz w:val="21"/>
      <w:szCs w:val="24"/>
      <w:lang w:val="en-US" w:eastAsia="zh-CN" w:bidi="ar-SA"/>
    </w:rPr>
  </w:style>
  <w:style w:type="character" w:customStyle="1" w:styleId="120">
    <w:name w:val="正文缩进2格 Char"/>
    <w:link w:val="121"/>
    <w:qFormat/>
    <w:uiPriority w:val="0"/>
    <w:rPr>
      <w:rFonts w:ascii="仿宋_GB2312" w:hAnsi="宋体" w:eastAsia="仿宋_GB2312"/>
      <w:kern w:val="2"/>
      <w:sz w:val="31"/>
      <w:szCs w:val="28"/>
    </w:rPr>
  </w:style>
  <w:style w:type="paragraph" w:customStyle="1" w:styleId="121">
    <w:name w:val="正文缩进2格"/>
    <w:basedOn w:val="1"/>
    <w:link w:val="120"/>
    <w:qFormat/>
    <w:uiPriority w:val="0"/>
    <w:pPr>
      <w:spacing w:line="600" w:lineRule="exact"/>
      <w:ind w:firstLine="639" w:firstLineChars="206"/>
    </w:pPr>
    <w:rPr>
      <w:rFonts w:ascii="仿宋_GB2312" w:hAnsi="宋体" w:eastAsia="仿宋_GB2312"/>
      <w:sz w:val="31"/>
      <w:szCs w:val="28"/>
    </w:rPr>
  </w:style>
  <w:style w:type="character" w:customStyle="1" w:styleId="122">
    <w:name w:val="明显引用 Char"/>
    <w:qFormat/>
    <w:uiPriority w:val="0"/>
    <w:rPr>
      <w:rFonts w:ascii="宋体" w:hAnsi="Calibri"/>
      <w:b/>
      <w:bCs/>
      <w:i/>
      <w:iCs/>
      <w:sz w:val="24"/>
      <w:szCs w:val="24"/>
      <w:lang w:eastAsia="en-US" w:bidi="en-US"/>
    </w:rPr>
  </w:style>
  <w:style w:type="paragraph" w:styleId="123">
    <w:name w:val="Intense Quote"/>
    <w:basedOn w:val="1"/>
    <w:next w:val="1"/>
    <w:link w:val="510"/>
    <w:qFormat/>
    <w:uiPriority w:val="0"/>
    <w:pPr>
      <w:widowControl/>
      <w:pBdr>
        <w:bottom w:val="single" w:color="auto" w:sz="4" w:space="1"/>
      </w:pBdr>
      <w:spacing w:before="200" w:after="280" w:line="276" w:lineRule="auto"/>
      <w:ind w:left="1008" w:right="1152"/>
    </w:pPr>
    <w:rPr>
      <w:rFonts w:ascii="宋体" w:hAnsi="Calibri"/>
      <w:b/>
      <w:bCs/>
      <w:i/>
      <w:iCs/>
      <w:kern w:val="0"/>
      <w:sz w:val="24"/>
      <w:szCs w:val="24"/>
      <w:lang w:eastAsia="en-US" w:bidi="en-US"/>
    </w:rPr>
  </w:style>
  <w:style w:type="character" w:customStyle="1" w:styleId="124">
    <w:name w:val="question-title2"/>
    <w:qFormat/>
    <w:uiPriority w:val="0"/>
  </w:style>
  <w:style w:type="character" w:customStyle="1" w:styleId="125">
    <w:name w:val="tt21"/>
    <w:qFormat/>
    <w:uiPriority w:val="0"/>
    <w:rPr>
      <w:rFonts w:ascii="宋体" w:hAnsi="宋体"/>
      <w:b/>
      <w:bCs/>
      <w:sz w:val="32"/>
      <w:szCs w:val="18"/>
    </w:rPr>
  </w:style>
  <w:style w:type="character" w:customStyle="1" w:styleId="126">
    <w:name w:val="标题 6 字符"/>
    <w:qFormat/>
    <w:uiPriority w:val="9"/>
    <w:rPr>
      <w:rFonts w:ascii="等线 Light" w:hAnsi="等线 Light" w:eastAsia="等线 Light"/>
      <w:b/>
      <w:bCs/>
      <w:kern w:val="2"/>
      <w:sz w:val="24"/>
      <w:szCs w:val="24"/>
    </w:rPr>
  </w:style>
  <w:style w:type="character" w:customStyle="1" w:styleId="127">
    <w:name w:val="页脚 字符"/>
    <w:qFormat/>
    <w:uiPriority w:val="99"/>
    <w:rPr>
      <w:rFonts w:ascii="Times New Roman" w:hAnsi="Times New Roman"/>
      <w:kern w:val="2"/>
      <w:sz w:val="18"/>
      <w:szCs w:val="18"/>
    </w:rPr>
  </w:style>
  <w:style w:type="character" w:customStyle="1" w:styleId="128">
    <w:name w:val="样式5 Char"/>
    <w:link w:val="129"/>
    <w:qFormat/>
    <w:uiPriority w:val="0"/>
    <w:rPr>
      <w:rFonts w:ascii="Cambria" w:hAnsi="Cambria"/>
      <w:b/>
      <w:bCs/>
      <w:sz w:val="26"/>
      <w:szCs w:val="26"/>
      <w:lang w:eastAsia="en-US" w:bidi="en-US"/>
    </w:rPr>
  </w:style>
  <w:style w:type="paragraph" w:customStyle="1" w:styleId="129">
    <w:name w:val="样式5"/>
    <w:basedOn w:val="130"/>
    <w:link w:val="128"/>
    <w:qFormat/>
    <w:uiPriority w:val="0"/>
    <w:pPr>
      <w:numPr>
        <w:numId w:val="0"/>
      </w:numPr>
      <w:tabs>
        <w:tab w:val="left" w:pos="420"/>
      </w:tabs>
    </w:pPr>
  </w:style>
  <w:style w:type="paragraph" w:customStyle="1" w:styleId="130">
    <w:name w:val="样式4"/>
    <w:basedOn w:val="17"/>
    <w:link w:val="136"/>
    <w:qFormat/>
    <w:uiPriority w:val="0"/>
    <w:pPr>
      <w:widowControl/>
      <w:numPr>
        <w:ilvl w:val="0"/>
        <w:numId w:val="2"/>
      </w:numPr>
      <w:adjustRightInd/>
      <w:spacing w:before="200" w:line="276" w:lineRule="auto"/>
      <w:jc w:val="left"/>
      <w:textAlignment w:val="auto"/>
      <w:outlineLvl w:val="1"/>
    </w:pPr>
    <w:rPr>
      <w:rFonts w:ascii="Cambria" w:hAnsi="Cambria"/>
      <w:b/>
      <w:bCs/>
      <w:sz w:val="26"/>
      <w:szCs w:val="26"/>
      <w:lang w:eastAsia="en-US" w:bidi="en-US"/>
    </w:rPr>
  </w:style>
  <w:style w:type="character" w:customStyle="1" w:styleId="131">
    <w:name w:val="四级标题 Char"/>
    <w:link w:val="132"/>
    <w:qFormat/>
    <w:uiPriority w:val="0"/>
    <w:rPr>
      <w:rFonts w:ascii="Calibri" w:hAnsi="Calibri"/>
      <w:b/>
      <w:kern w:val="2"/>
      <w:sz w:val="24"/>
      <w:szCs w:val="22"/>
    </w:rPr>
  </w:style>
  <w:style w:type="paragraph" w:customStyle="1" w:styleId="132">
    <w:name w:val="四级标题"/>
    <w:basedOn w:val="1"/>
    <w:link w:val="131"/>
    <w:qFormat/>
    <w:uiPriority w:val="0"/>
    <w:pPr>
      <w:spacing w:line="360" w:lineRule="auto"/>
    </w:pPr>
    <w:rPr>
      <w:rFonts w:ascii="Calibri" w:hAnsi="Calibri"/>
      <w:b/>
      <w:sz w:val="24"/>
      <w:szCs w:val="22"/>
    </w:rPr>
  </w:style>
  <w:style w:type="character" w:customStyle="1" w:styleId="133">
    <w:name w:val="html_tag1"/>
    <w:qFormat/>
    <w:uiPriority w:val="0"/>
    <w:rPr>
      <w:color w:val="0000FF"/>
    </w:rPr>
  </w:style>
  <w:style w:type="character" w:customStyle="1" w:styleId="134">
    <w:name w:val="text4"/>
    <w:qFormat/>
    <w:uiPriority w:val="0"/>
  </w:style>
  <w:style w:type="character" w:customStyle="1" w:styleId="135">
    <w:name w:val="批注框文本 Char1"/>
    <w:qFormat/>
    <w:uiPriority w:val="99"/>
    <w:rPr>
      <w:kern w:val="2"/>
      <w:sz w:val="18"/>
      <w:szCs w:val="18"/>
    </w:rPr>
  </w:style>
  <w:style w:type="character" w:customStyle="1" w:styleId="136">
    <w:name w:val="样式4 Char"/>
    <w:link w:val="130"/>
    <w:qFormat/>
    <w:uiPriority w:val="0"/>
    <w:rPr>
      <w:rFonts w:ascii="Cambria" w:hAnsi="Cambria"/>
      <w:b/>
      <w:bCs/>
      <w:sz w:val="26"/>
      <w:szCs w:val="26"/>
      <w:lang w:eastAsia="en-US" w:bidi="en-US"/>
    </w:rPr>
  </w:style>
  <w:style w:type="character" w:customStyle="1" w:styleId="137">
    <w:name w:val="正文首行缩进 2 Char"/>
    <w:qFormat/>
    <w:uiPriority w:val="0"/>
    <w:rPr>
      <w:rFonts w:ascii="宋体" w:hAnsi="宋体"/>
      <w:kern w:val="2"/>
      <w:sz w:val="21"/>
    </w:rPr>
  </w:style>
  <w:style w:type="character" w:customStyle="1" w:styleId="138">
    <w:name w:val="正文 1 Char Char"/>
    <w:link w:val="139"/>
    <w:qFormat/>
    <w:uiPriority w:val="0"/>
    <w:rPr>
      <w:rFonts w:ascii="宋体" w:hAnsi="宋体"/>
      <w:color w:val="000000"/>
      <w:sz w:val="24"/>
      <w:szCs w:val="24"/>
    </w:rPr>
  </w:style>
  <w:style w:type="paragraph" w:customStyle="1" w:styleId="139">
    <w:name w:val="正文 1 Char"/>
    <w:basedOn w:val="1"/>
    <w:link w:val="138"/>
    <w:qFormat/>
    <w:uiPriority w:val="0"/>
    <w:pPr>
      <w:tabs>
        <w:tab w:val="left" w:pos="2540"/>
      </w:tabs>
      <w:snapToGrid w:val="0"/>
      <w:spacing w:before="80" w:after="80" w:line="360" w:lineRule="auto"/>
      <w:ind w:left="210" w:leftChars="100" w:right="210" w:rightChars="100"/>
    </w:pPr>
    <w:rPr>
      <w:rFonts w:ascii="宋体" w:hAnsi="宋体"/>
      <w:color w:val="000000"/>
      <w:kern w:val="0"/>
      <w:sz w:val="24"/>
      <w:szCs w:val="24"/>
    </w:rPr>
  </w:style>
  <w:style w:type="character" w:customStyle="1" w:styleId="140">
    <w:name w:val="明显强调1"/>
    <w:qFormat/>
    <w:uiPriority w:val="0"/>
    <w:rPr>
      <w:b/>
      <w:bCs/>
    </w:rPr>
  </w:style>
  <w:style w:type="character" w:customStyle="1" w:styleId="141">
    <w:name w:val="明显引用 Char1"/>
    <w:qFormat/>
    <w:uiPriority w:val="30"/>
    <w:rPr>
      <w:rFonts w:ascii="Times New Roman" w:hAnsi="Times New Roman" w:eastAsia="宋体" w:cs="Times New Roman"/>
      <w:b/>
      <w:bCs/>
      <w:i/>
      <w:iCs/>
      <w:color w:val="4F81BD"/>
      <w:szCs w:val="24"/>
    </w:rPr>
  </w:style>
  <w:style w:type="character" w:customStyle="1" w:styleId="142">
    <w:name w:val="title-061"/>
    <w:qFormat/>
    <w:uiPriority w:val="0"/>
    <w:rPr>
      <w:rFonts w:hint="default" w:ascii="Arial" w:hAnsi="Arial" w:cs="Arial"/>
      <w:b/>
      <w:bCs/>
      <w:color w:val="545CFF"/>
      <w:sz w:val="17"/>
      <w:szCs w:val="17"/>
    </w:rPr>
  </w:style>
  <w:style w:type="character" w:customStyle="1" w:styleId="143">
    <w:name w:val="标题 3.1 Char"/>
    <w:link w:val="144"/>
    <w:qFormat/>
    <w:locked/>
    <w:uiPriority w:val="0"/>
    <w:rPr>
      <w:rFonts w:ascii="宋体" w:hAnsi="宋体"/>
      <w:b/>
      <w:bCs/>
      <w:color w:val="000000"/>
      <w:kern w:val="2"/>
      <w:sz w:val="32"/>
      <w:szCs w:val="32"/>
    </w:rPr>
  </w:style>
  <w:style w:type="paragraph" w:customStyle="1" w:styleId="144">
    <w:name w:val="标题 3.1"/>
    <w:basedOn w:val="6"/>
    <w:link w:val="143"/>
    <w:qFormat/>
    <w:uiPriority w:val="0"/>
    <w:pPr>
      <w:tabs>
        <w:tab w:val="left" w:pos="1440"/>
        <w:tab w:val="left" w:pos="1620"/>
      </w:tabs>
      <w:adjustRightInd/>
      <w:spacing w:before="260" w:after="260" w:line="600" w:lineRule="exact"/>
      <w:jc w:val="both"/>
      <w:textAlignment w:val="auto"/>
    </w:pPr>
    <w:rPr>
      <w:rFonts w:ascii="宋体" w:hAnsi="宋体" w:eastAsia="宋体"/>
      <w:bCs/>
      <w:color w:val="000000"/>
      <w:sz w:val="32"/>
      <w:szCs w:val="32"/>
    </w:rPr>
  </w:style>
  <w:style w:type="character" w:customStyle="1" w:styleId="145">
    <w:name w:val="普通文字 Char Char1"/>
    <w:qFormat/>
    <w:uiPriority w:val="0"/>
    <w:rPr>
      <w:rFonts w:ascii="宋体" w:hAnsi="Courier New" w:cs="Courier New"/>
      <w:kern w:val="2"/>
      <w:sz w:val="21"/>
      <w:szCs w:val="21"/>
    </w:rPr>
  </w:style>
  <w:style w:type="character" w:customStyle="1" w:styleId="146">
    <w:name w:val="引用 Char"/>
    <w:qFormat/>
    <w:uiPriority w:val="29"/>
    <w:rPr>
      <w:rFonts w:ascii="宋体" w:hAnsi="Calibri"/>
      <w:i/>
      <w:iCs/>
      <w:sz w:val="24"/>
      <w:szCs w:val="24"/>
      <w:lang w:eastAsia="en-US" w:bidi="en-US"/>
    </w:rPr>
  </w:style>
  <w:style w:type="paragraph" w:styleId="147">
    <w:name w:val="Quote"/>
    <w:basedOn w:val="1"/>
    <w:next w:val="1"/>
    <w:link w:val="323"/>
    <w:qFormat/>
    <w:uiPriority w:val="29"/>
    <w:pPr>
      <w:widowControl/>
      <w:spacing w:before="200" w:line="276" w:lineRule="auto"/>
      <w:ind w:left="360" w:right="360"/>
      <w:jc w:val="left"/>
    </w:pPr>
    <w:rPr>
      <w:rFonts w:ascii="宋体" w:hAnsi="Calibri"/>
      <w:i/>
      <w:iCs/>
      <w:kern w:val="0"/>
      <w:sz w:val="24"/>
      <w:szCs w:val="24"/>
      <w:lang w:eastAsia="en-US" w:bidi="en-US"/>
    </w:rPr>
  </w:style>
  <w:style w:type="character" w:customStyle="1" w:styleId="148">
    <w:name w:val="font5 Char"/>
    <w:qFormat/>
    <w:uiPriority w:val="0"/>
    <w:rPr>
      <w:rFonts w:ascii="宋体" w:hAnsi="宋体" w:eastAsia="宋体"/>
      <w:sz w:val="28"/>
      <w:szCs w:val="28"/>
      <w:lang w:val="en-US" w:eastAsia="zh-CN" w:bidi="ar-SA"/>
    </w:rPr>
  </w:style>
  <w:style w:type="character" w:customStyle="1" w:styleId="149">
    <w:name w:val="样式 ssss + 宋体 五号1 Char"/>
    <w:link w:val="150"/>
    <w:qFormat/>
    <w:uiPriority w:val="0"/>
    <w:rPr>
      <w:rFonts w:ascii="宋体" w:hAnsi="宋体"/>
      <w:kern w:val="2"/>
      <w:sz w:val="24"/>
      <w:szCs w:val="24"/>
    </w:rPr>
  </w:style>
  <w:style w:type="paragraph" w:customStyle="1" w:styleId="150">
    <w:name w:val="样式 ssss + 宋体 五号1"/>
    <w:basedOn w:val="108"/>
    <w:link w:val="149"/>
    <w:qFormat/>
    <w:uiPriority w:val="0"/>
    <w:rPr>
      <w:rFonts w:ascii="宋体" w:hAnsi="宋体"/>
    </w:rPr>
  </w:style>
  <w:style w:type="character" w:customStyle="1" w:styleId="151">
    <w:name w:val="样式7 Char"/>
    <w:link w:val="152"/>
    <w:qFormat/>
    <w:uiPriority w:val="0"/>
    <w:rPr>
      <w:rFonts w:ascii="Cambria" w:hAnsi="Cambria"/>
      <w:b/>
      <w:bCs/>
      <w:sz w:val="24"/>
      <w:szCs w:val="24"/>
      <w:lang w:eastAsia="en-US" w:bidi="en-US"/>
    </w:rPr>
  </w:style>
  <w:style w:type="paragraph" w:customStyle="1" w:styleId="152">
    <w:name w:val="样式7"/>
    <w:basedOn w:val="6"/>
    <w:link w:val="151"/>
    <w:qFormat/>
    <w:uiPriority w:val="0"/>
    <w:pPr>
      <w:keepNext w:val="0"/>
      <w:keepLines w:val="0"/>
      <w:widowControl/>
      <w:numPr>
        <w:ilvl w:val="0"/>
        <w:numId w:val="3"/>
      </w:numPr>
      <w:adjustRightInd/>
      <w:spacing w:before="200" w:line="271" w:lineRule="auto"/>
      <w:textAlignment w:val="auto"/>
    </w:pPr>
    <w:rPr>
      <w:rFonts w:ascii="Cambria" w:hAnsi="Cambria" w:eastAsia="宋体"/>
      <w:bCs/>
      <w:kern w:val="0"/>
      <w:sz w:val="24"/>
      <w:szCs w:val="24"/>
      <w:lang w:eastAsia="en-US" w:bidi="en-US"/>
    </w:rPr>
  </w:style>
  <w:style w:type="character" w:customStyle="1" w:styleId="153">
    <w:name w:val="阴影"/>
    <w:qFormat/>
    <w:uiPriority w:val="0"/>
    <w:rPr>
      <w:color w:val="0000FF"/>
      <w:shd w:val="pct10" w:color="auto" w:fill="auto"/>
    </w:rPr>
  </w:style>
  <w:style w:type="character" w:customStyle="1" w:styleId="154">
    <w:name w:val="Char Char36"/>
    <w:qFormat/>
    <w:uiPriority w:val="0"/>
    <w:rPr>
      <w:rFonts w:eastAsia="宋体"/>
      <w:kern w:val="2"/>
      <w:sz w:val="24"/>
      <w:lang w:val="en-US" w:eastAsia="zh-CN" w:bidi="ar-SA"/>
    </w:rPr>
  </w:style>
  <w:style w:type="character" w:customStyle="1" w:styleId="155">
    <w:name w:val="nei_title1"/>
    <w:qFormat/>
    <w:uiPriority w:val="0"/>
    <w:rPr>
      <w:b/>
      <w:bCs/>
      <w:color w:val="CC0000"/>
    </w:rPr>
  </w:style>
  <w:style w:type="character" w:customStyle="1" w:styleId="156">
    <w:name w:val="apple-converted-space"/>
    <w:basedOn w:val="55"/>
    <w:qFormat/>
    <w:uiPriority w:val="0"/>
  </w:style>
  <w:style w:type="character" w:customStyle="1" w:styleId="157">
    <w:name w:val="font21"/>
    <w:qFormat/>
    <w:uiPriority w:val="0"/>
    <w:rPr>
      <w:rFonts w:hint="eastAsia" w:ascii="微软雅黑" w:hAnsi="微软雅黑" w:eastAsia="微软雅黑" w:cs="微软雅黑"/>
      <w:b/>
      <w:color w:val="FF0000"/>
      <w:sz w:val="16"/>
      <w:szCs w:val="16"/>
      <w:u w:val="none"/>
    </w:rPr>
  </w:style>
  <w:style w:type="character" w:customStyle="1" w:styleId="158">
    <w:name w:val="批注框文本 Char"/>
    <w:qFormat/>
    <w:uiPriority w:val="99"/>
    <w:rPr>
      <w:kern w:val="2"/>
      <w:sz w:val="18"/>
      <w:szCs w:val="18"/>
    </w:rPr>
  </w:style>
  <w:style w:type="character" w:customStyle="1" w:styleId="159">
    <w:name w:val="正文文本 2 Char"/>
    <w:qFormat/>
    <w:uiPriority w:val="0"/>
    <w:rPr>
      <w:rFonts w:ascii="楷体_GB2312" w:eastAsia="楷体_GB2312"/>
      <w:kern w:val="2"/>
      <w:sz w:val="28"/>
      <w:szCs w:val="28"/>
    </w:rPr>
  </w:style>
  <w:style w:type="character" w:customStyle="1" w:styleId="160">
    <w:name w:val="subheader1"/>
    <w:qFormat/>
    <w:uiPriority w:val="0"/>
    <w:rPr>
      <w:rFonts w:hint="default" w:ascii="Arial" w:hAnsi="Arial" w:cs="Arial"/>
      <w:b/>
      <w:bCs/>
      <w:color w:val="003366"/>
      <w:sz w:val="17"/>
      <w:szCs w:val="17"/>
    </w:rPr>
  </w:style>
  <w:style w:type="character" w:customStyle="1" w:styleId="161">
    <w:name w:val="正文标准 Char"/>
    <w:link w:val="162"/>
    <w:qFormat/>
    <w:uiPriority w:val="0"/>
    <w:rPr>
      <w:kern w:val="2"/>
      <w:sz w:val="24"/>
      <w:szCs w:val="21"/>
    </w:rPr>
  </w:style>
  <w:style w:type="paragraph" w:customStyle="1" w:styleId="162">
    <w:name w:val="正文标准"/>
    <w:basedOn w:val="1"/>
    <w:link w:val="161"/>
    <w:qFormat/>
    <w:uiPriority w:val="0"/>
    <w:pPr>
      <w:spacing w:line="360" w:lineRule="auto"/>
      <w:ind w:firstLine="200" w:firstLineChars="200"/>
    </w:pPr>
    <w:rPr>
      <w:sz w:val="24"/>
    </w:rPr>
  </w:style>
  <w:style w:type="character" w:customStyle="1" w:styleId="163">
    <w:name w:val="批注文字 Char"/>
    <w:qFormat/>
    <w:uiPriority w:val="0"/>
    <w:rPr>
      <w:kern w:val="2"/>
      <w:sz w:val="21"/>
      <w:szCs w:val="21"/>
    </w:rPr>
  </w:style>
  <w:style w:type="character" w:customStyle="1" w:styleId="164">
    <w:name w:val="正文文本缩进 3 Char"/>
    <w:qFormat/>
    <w:uiPriority w:val="0"/>
    <w:rPr>
      <w:rFonts w:ascii="Arial" w:hAnsi="Arial" w:eastAsia="仿宋_GB2312" w:cs="Arial"/>
      <w:color w:val="FFFF00"/>
      <w:kern w:val="2"/>
      <w:sz w:val="32"/>
      <w:szCs w:val="32"/>
    </w:rPr>
  </w:style>
  <w:style w:type="character" w:customStyle="1" w:styleId="165">
    <w:name w:val="列出段落 Char"/>
    <w:link w:val="166"/>
    <w:qFormat/>
    <w:locked/>
    <w:uiPriority w:val="34"/>
    <w:rPr>
      <w:rFonts w:ascii="Calibri" w:hAnsi="Calibri"/>
      <w:sz w:val="24"/>
      <w:szCs w:val="24"/>
      <w:lang w:eastAsia="en-US" w:bidi="en-US"/>
    </w:rPr>
  </w:style>
  <w:style w:type="paragraph" w:customStyle="1" w:styleId="166">
    <w:name w:val="列出段落11"/>
    <w:basedOn w:val="1"/>
    <w:link w:val="165"/>
    <w:qFormat/>
    <w:uiPriority w:val="34"/>
    <w:pPr>
      <w:widowControl/>
      <w:ind w:left="720"/>
      <w:contextualSpacing/>
      <w:jc w:val="left"/>
    </w:pPr>
    <w:rPr>
      <w:rFonts w:ascii="Calibri" w:hAnsi="Calibri"/>
      <w:kern w:val="0"/>
      <w:sz w:val="24"/>
      <w:szCs w:val="24"/>
      <w:lang w:eastAsia="en-US" w:bidi="en-US"/>
    </w:rPr>
  </w:style>
  <w:style w:type="character" w:customStyle="1" w:styleId="167">
    <w:name w:val="No Spacing Char"/>
    <w:link w:val="168"/>
    <w:qFormat/>
    <w:uiPriority w:val="0"/>
    <w:rPr>
      <w:rFonts w:ascii="Calibri" w:hAnsi="Calibri" w:eastAsia="Calibri"/>
      <w:sz w:val="22"/>
      <w:szCs w:val="22"/>
    </w:rPr>
  </w:style>
  <w:style w:type="paragraph" w:customStyle="1" w:styleId="168">
    <w:name w:val="No Spacing1"/>
    <w:basedOn w:val="1"/>
    <w:link w:val="167"/>
    <w:qFormat/>
    <w:uiPriority w:val="0"/>
    <w:pPr>
      <w:widowControl/>
      <w:jc w:val="left"/>
    </w:pPr>
    <w:rPr>
      <w:rFonts w:ascii="Calibri" w:hAnsi="Calibri" w:eastAsia="Calibri"/>
      <w:kern w:val="0"/>
      <w:sz w:val="22"/>
      <w:szCs w:val="22"/>
    </w:rPr>
  </w:style>
  <w:style w:type="character" w:customStyle="1" w:styleId="169">
    <w:name w:val="列表编号 Char"/>
    <w:link w:val="16"/>
    <w:qFormat/>
    <w:uiPriority w:val="0"/>
    <w:rPr>
      <w:rFonts w:ascii="宋体"/>
      <w:sz w:val="21"/>
      <w:szCs w:val="21"/>
    </w:rPr>
  </w:style>
  <w:style w:type="character" w:customStyle="1" w:styleId="170">
    <w:name w:val="样式1 Char Char"/>
    <w:qFormat/>
    <w:uiPriority w:val="0"/>
    <w:rPr>
      <w:rFonts w:ascii="宋体" w:hAnsi="宋体" w:eastAsia="宋体" w:cs="Times New Roman"/>
      <w:snapToGrid/>
      <w:kern w:val="2"/>
      <w:sz w:val="28"/>
      <w:szCs w:val="24"/>
    </w:rPr>
  </w:style>
  <w:style w:type="character" w:customStyle="1" w:styleId="171">
    <w:name w:val="Char Char34"/>
    <w:qFormat/>
    <w:uiPriority w:val="0"/>
    <w:rPr>
      <w:rFonts w:ascii="Calibri" w:eastAsia="宋体"/>
      <w:b/>
      <w:bCs/>
      <w:i/>
      <w:iCs/>
      <w:kern w:val="2"/>
      <w:sz w:val="26"/>
      <w:szCs w:val="26"/>
      <w:lang w:val="en-US" w:eastAsia="zh-CN" w:bidi="ar-SA"/>
    </w:rPr>
  </w:style>
  <w:style w:type="character" w:customStyle="1" w:styleId="172">
    <w:name w:val="不明显参考1"/>
    <w:qFormat/>
    <w:uiPriority w:val="31"/>
    <w:rPr>
      <w:smallCaps/>
    </w:rPr>
  </w:style>
  <w:style w:type="character" w:customStyle="1" w:styleId="173">
    <w:name w:val="zw1"/>
    <w:qFormat/>
    <w:uiPriority w:val="0"/>
    <w:rPr>
      <w:color w:val="000000"/>
      <w:sz w:val="20"/>
      <w:szCs w:val="20"/>
      <w:u w:val="none"/>
    </w:rPr>
  </w:style>
  <w:style w:type="character" w:customStyle="1" w:styleId="174">
    <w:name w:val="FA正文 Char"/>
    <w:link w:val="175"/>
    <w:qFormat/>
    <w:uiPriority w:val="0"/>
    <w:rPr>
      <w:rFonts w:ascii="宋体" w:hAnsi="宋体"/>
      <w:kern w:val="2"/>
      <w:sz w:val="28"/>
      <w:szCs w:val="28"/>
    </w:rPr>
  </w:style>
  <w:style w:type="paragraph" w:customStyle="1" w:styleId="175">
    <w:name w:val="FA正文"/>
    <w:basedOn w:val="1"/>
    <w:link w:val="174"/>
    <w:qFormat/>
    <w:uiPriority w:val="0"/>
    <w:pPr>
      <w:tabs>
        <w:tab w:val="left" w:pos="3375"/>
      </w:tabs>
      <w:spacing w:line="440" w:lineRule="atLeast"/>
      <w:ind w:firstLine="538" w:firstLineChars="192"/>
    </w:pPr>
    <w:rPr>
      <w:rFonts w:ascii="宋体" w:hAnsi="宋体"/>
      <w:sz w:val="28"/>
      <w:szCs w:val="28"/>
    </w:rPr>
  </w:style>
  <w:style w:type="character" w:customStyle="1" w:styleId="176">
    <w:name w:val="样式1 Char"/>
    <w:link w:val="177"/>
    <w:qFormat/>
    <w:uiPriority w:val="0"/>
    <w:rPr>
      <w:rFonts w:ascii="宋体" w:hAnsi="宋体"/>
      <w:sz w:val="21"/>
      <w:szCs w:val="21"/>
    </w:rPr>
  </w:style>
  <w:style w:type="paragraph" w:customStyle="1" w:styleId="177">
    <w:name w:val="样式1"/>
    <w:basedOn w:val="1"/>
    <w:link w:val="176"/>
    <w:qFormat/>
    <w:uiPriority w:val="0"/>
    <w:pPr>
      <w:numPr>
        <w:ilvl w:val="0"/>
        <w:numId w:val="4"/>
      </w:numPr>
      <w:adjustRightInd w:val="0"/>
      <w:textAlignment w:val="baseline"/>
    </w:pPr>
    <w:rPr>
      <w:rFonts w:ascii="宋体" w:hAnsi="宋体"/>
      <w:kern w:val="0"/>
    </w:rPr>
  </w:style>
  <w:style w:type="character" w:customStyle="1" w:styleId="178">
    <w:name w:val="Char Char35"/>
    <w:qFormat/>
    <w:uiPriority w:val="0"/>
    <w:rPr>
      <w:rFonts w:eastAsia="宋体"/>
      <w:kern w:val="2"/>
      <w:sz w:val="24"/>
      <w:lang w:val="en-US" w:eastAsia="zh-CN" w:bidi="ar-SA"/>
    </w:rPr>
  </w:style>
  <w:style w:type="character" w:customStyle="1" w:styleId="179">
    <w:name w:val="表格 Char Char"/>
    <w:link w:val="180"/>
    <w:qFormat/>
    <w:uiPriority w:val="0"/>
    <w:rPr>
      <w:rFonts w:ascii="Arial" w:hAnsi="Arial"/>
      <w:kern w:val="2"/>
      <w:sz w:val="24"/>
      <w:szCs w:val="24"/>
    </w:rPr>
  </w:style>
  <w:style w:type="paragraph" w:customStyle="1" w:styleId="180">
    <w:name w:val="表格"/>
    <w:basedOn w:val="1"/>
    <w:link w:val="179"/>
    <w:qFormat/>
    <w:uiPriority w:val="0"/>
    <w:rPr>
      <w:rFonts w:ascii="Arial" w:hAnsi="Arial"/>
      <w:sz w:val="24"/>
      <w:szCs w:val="24"/>
    </w:rPr>
  </w:style>
  <w:style w:type="character" w:customStyle="1" w:styleId="181">
    <w:name w:val="副标题 Char"/>
    <w:qFormat/>
    <w:uiPriority w:val="11"/>
    <w:rPr>
      <w:rFonts w:ascii="Cambria" w:hAnsi="Cambria"/>
      <w:i/>
      <w:iCs/>
      <w:spacing w:val="13"/>
      <w:sz w:val="24"/>
      <w:szCs w:val="24"/>
      <w:lang w:eastAsia="en-US" w:bidi="en-US"/>
    </w:rPr>
  </w:style>
  <w:style w:type="character" w:customStyle="1" w:styleId="182">
    <w:name w:val="Table Text Char2"/>
    <w:qFormat/>
    <w:uiPriority w:val="0"/>
    <w:rPr>
      <w:rFonts w:eastAsia="宋体"/>
      <w:b/>
      <w:bCs/>
      <w:sz w:val="21"/>
      <w:szCs w:val="24"/>
      <w:lang w:val="en-US" w:eastAsia="zh-CN" w:bidi="ar-SA"/>
    </w:rPr>
  </w:style>
  <w:style w:type="character" w:customStyle="1" w:styleId="183">
    <w:name w:val="不明显强调1"/>
    <w:qFormat/>
    <w:uiPriority w:val="19"/>
    <w:rPr>
      <w:i/>
      <w:iCs/>
    </w:rPr>
  </w:style>
  <w:style w:type="character" w:customStyle="1" w:styleId="184">
    <w:name w:val="标题3 Char Char"/>
    <w:link w:val="185"/>
    <w:qFormat/>
    <w:uiPriority w:val="0"/>
    <w:rPr>
      <w:rFonts w:ascii="宋体" w:hAnsi="宋体"/>
      <w:b/>
      <w:bCs/>
      <w:kern w:val="2"/>
      <w:sz w:val="28"/>
      <w:szCs w:val="28"/>
    </w:rPr>
  </w:style>
  <w:style w:type="paragraph" w:customStyle="1" w:styleId="185">
    <w:name w:val="标题3 Char"/>
    <w:basedOn w:val="6"/>
    <w:link w:val="184"/>
    <w:qFormat/>
    <w:uiPriority w:val="0"/>
    <w:pPr>
      <w:adjustRightInd/>
      <w:spacing w:before="260" w:after="260" w:line="416" w:lineRule="auto"/>
      <w:jc w:val="both"/>
      <w:textAlignment w:val="auto"/>
    </w:pPr>
    <w:rPr>
      <w:rFonts w:ascii="宋体" w:hAnsi="宋体" w:eastAsia="宋体"/>
      <w:bCs/>
      <w:sz w:val="28"/>
      <w:szCs w:val="28"/>
    </w:rPr>
  </w:style>
  <w:style w:type="character" w:customStyle="1" w:styleId="186">
    <w:name w:val="正文文本缩进 Char"/>
    <w:qFormat/>
    <w:locked/>
    <w:uiPriority w:val="0"/>
    <w:rPr>
      <w:rFonts w:ascii="楷体_GB2312" w:eastAsia="楷体_GB2312"/>
      <w:kern w:val="2"/>
      <w:sz w:val="32"/>
      <w:szCs w:val="32"/>
    </w:rPr>
  </w:style>
  <w:style w:type="character" w:customStyle="1" w:styleId="187">
    <w:name w:val="一级标题 Char"/>
    <w:link w:val="188"/>
    <w:qFormat/>
    <w:uiPriority w:val="0"/>
    <w:rPr>
      <w:b/>
      <w:bCs/>
      <w:kern w:val="44"/>
      <w:sz w:val="32"/>
      <w:szCs w:val="44"/>
    </w:rPr>
  </w:style>
  <w:style w:type="paragraph" w:customStyle="1" w:styleId="188">
    <w:name w:val="一级标题"/>
    <w:basedOn w:val="4"/>
    <w:link w:val="187"/>
    <w:qFormat/>
    <w:uiPriority w:val="0"/>
    <w:pPr>
      <w:spacing w:beforeLines="50" w:after="0" w:line="360" w:lineRule="atLeast"/>
    </w:pPr>
    <w:rPr>
      <w:rFonts w:eastAsia="宋体"/>
      <w:bCs/>
      <w:sz w:val="32"/>
      <w:szCs w:val="44"/>
    </w:rPr>
  </w:style>
  <w:style w:type="character" w:customStyle="1" w:styleId="189">
    <w:name w:val="正文文本 Char1"/>
    <w:semiHidden/>
    <w:qFormat/>
    <w:uiPriority w:val="99"/>
    <w:rPr>
      <w:rFonts w:ascii="Times New Roman" w:hAnsi="Times New Roman" w:eastAsia="宋体" w:cs="Times New Roman"/>
      <w:szCs w:val="24"/>
    </w:rPr>
  </w:style>
  <w:style w:type="character" w:customStyle="1" w:styleId="190">
    <w:name w:val="正文（绿盟科技） Char"/>
    <w:link w:val="191"/>
    <w:qFormat/>
    <w:uiPriority w:val="0"/>
    <w:rPr>
      <w:rFonts w:ascii="Arial" w:hAnsi="Arial"/>
      <w:sz w:val="21"/>
      <w:szCs w:val="21"/>
    </w:rPr>
  </w:style>
  <w:style w:type="paragraph" w:customStyle="1" w:styleId="191">
    <w:name w:val="正文（绿盟科技）"/>
    <w:link w:val="190"/>
    <w:qFormat/>
    <w:uiPriority w:val="0"/>
    <w:pPr>
      <w:spacing w:line="300" w:lineRule="auto"/>
    </w:pPr>
    <w:rPr>
      <w:rFonts w:ascii="Arial" w:hAnsi="Arial" w:eastAsia="宋体" w:cs="Times New Roman"/>
      <w:sz w:val="21"/>
      <w:szCs w:val="21"/>
      <w:lang w:val="en-US" w:eastAsia="zh-CN" w:bidi="ar-SA"/>
    </w:rPr>
  </w:style>
  <w:style w:type="character" w:customStyle="1" w:styleId="192">
    <w:name w:val="A7"/>
    <w:unhideWhenUsed/>
    <w:qFormat/>
    <w:uiPriority w:val="99"/>
    <w:rPr>
      <w:rFonts w:hint="eastAsia" w:ascii="Museo Sans For Dell" w:hAnsi="Museo Sans For Dell" w:eastAsia="Museo Sans For Dell"/>
      <w:color w:val="221E1F"/>
      <w:sz w:val="16"/>
    </w:rPr>
  </w:style>
  <w:style w:type="character" w:customStyle="1" w:styleId="193">
    <w:name w:val="html_txt1"/>
    <w:qFormat/>
    <w:uiPriority w:val="0"/>
    <w:rPr>
      <w:color w:val="000000"/>
    </w:rPr>
  </w:style>
  <w:style w:type="character" w:customStyle="1" w:styleId="194">
    <w:name w:val="word141"/>
    <w:qFormat/>
    <w:uiPriority w:val="0"/>
    <w:rPr>
      <w:color w:val="0066CC"/>
      <w:sz w:val="20"/>
      <w:szCs w:val="20"/>
    </w:rPr>
  </w:style>
  <w:style w:type="character" w:customStyle="1" w:styleId="195">
    <w:name w:val="正文首行缩进 Char"/>
    <w:qFormat/>
    <w:uiPriority w:val="0"/>
    <w:rPr>
      <w:rFonts w:ascii="仿宋_GB2312" w:eastAsia="仿宋_GB2312"/>
      <w:kern w:val="2"/>
      <w:sz w:val="30"/>
      <w:szCs w:val="30"/>
    </w:rPr>
  </w:style>
  <w:style w:type="character" w:customStyle="1" w:styleId="196">
    <w:name w:val="文档结构图 Char"/>
    <w:qFormat/>
    <w:uiPriority w:val="99"/>
    <w:rPr>
      <w:kern w:val="2"/>
      <w:sz w:val="21"/>
      <w:szCs w:val="21"/>
      <w:shd w:val="clear" w:color="auto" w:fill="000080"/>
    </w:rPr>
  </w:style>
  <w:style w:type="character" w:customStyle="1" w:styleId="197">
    <w:name w:val="walkinnet"/>
    <w:qFormat/>
    <w:uiPriority w:val="0"/>
    <w:rPr>
      <w:color w:val="000000"/>
    </w:rPr>
  </w:style>
  <w:style w:type="character" w:customStyle="1" w:styleId="198">
    <w:name w:val="正文首行缩进 Char Char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199">
    <w:name w:val="样式6 Char"/>
    <w:link w:val="200"/>
    <w:qFormat/>
    <w:uiPriority w:val="0"/>
    <w:rPr>
      <w:rFonts w:ascii="Cambria" w:hAnsi="Cambria"/>
      <w:b/>
      <w:bCs/>
      <w:sz w:val="26"/>
      <w:szCs w:val="26"/>
      <w:lang w:eastAsia="en-US" w:bidi="en-US"/>
    </w:rPr>
  </w:style>
  <w:style w:type="paragraph" w:customStyle="1" w:styleId="200">
    <w:name w:val="样式6"/>
    <w:basedOn w:val="129"/>
    <w:link w:val="199"/>
    <w:qFormat/>
    <w:uiPriority w:val="0"/>
  </w:style>
  <w:style w:type="character" w:customStyle="1" w:styleId="201">
    <w:name w:val="正文文本 Char"/>
    <w:qFormat/>
    <w:uiPriority w:val="0"/>
    <w:rPr>
      <w:rFonts w:ascii="楷体_GB2312" w:hAnsi="Arial" w:eastAsia="楷体_GB2312"/>
      <w:kern w:val="2"/>
      <w:sz w:val="28"/>
      <w:szCs w:val="28"/>
    </w:rPr>
  </w:style>
  <w:style w:type="character" w:customStyle="1" w:styleId="202">
    <w:name w:val="文档结构图 Char1"/>
    <w:qFormat/>
    <w:uiPriority w:val="99"/>
    <w:rPr>
      <w:rFonts w:ascii="宋体"/>
      <w:kern w:val="2"/>
      <w:sz w:val="18"/>
      <w:szCs w:val="18"/>
    </w:rPr>
  </w:style>
  <w:style w:type="character" w:customStyle="1" w:styleId="203">
    <w:name w:val="页脚 Char1"/>
    <w:semiHidden/>
    <w:qFormat/>
    <w:uiPriority w:val="99"/>
    <w:rPr>
      <w:rFonts w:ascii="Times New Roman" w:hAnsi="Times New Roman" w:eastAsia="宋体" w:cs="Times New Roman"/>
      <w:sz w:val="18"/>
      <w:szCs w:val="18"/>
    </w:rPr>
  </w:style>
  <w:style w:type="character" w:customStyle="1" w:styleId="204">
    <w:name w:val="unnamed1"/>
    <w:qFormat/>
    <w:uiPriority w:val="0"/>
  </w:style>
  <w:style w:type="character" w:customStyle="1" w:styleId="205">
    <w:name w:val="style3"/>
    <w:qFormat/>
    <w:uiPriority w:val="0"/>
  </w:style>
  <w:style w:type="character" w:customStyle="1" w:styleId="206">
    <w:name w:val="Char Char12"/>
    <w:qFormat/>
    <w:uiPriority w:val="0"/>
    <w:rPr>
      <w:rFonts w:ascii="Times New Roman" w:hAnsi="Times New Roman"/>
      <w:b/>
      <w:bCs/>
      <w:iCs/>
      <w:sz w:val="24"/>
      <w:szCs w:val="28"/>
      <w:lang w:eastAsia="zh-CN"/>
    </w:rPr>
  </w:style>
  <w:style w:type="character" w:customStyle="1" w:styleId="207">
    <w:name w:val="页眉 字符"/>
    <w:qFormat/>
    <w:uiPriority w:val="99"/>
    <w:rPr>
      <w:rFonts w:ascii="Times New Roman" w:hAnsi="Times New Roman"/>
      <w:kern w:val="2"/>
      <w:sz w:val="18"/>
      <w:szCs w:val="18"/>
    </w:rPr>
  </w:style>
  <w:style w:type="character" w:customStyle="1" w:styleId="208">
    <w:name w:val="apple-style-span"/>
    <w:basedOn w:val="55"/>
    <w:qFormat/>
    <w:uiPriority w:val="0"/>
  </w:style>
  <w:style w:type="character" w:customStyle="1" w:styleId="209">
    <w:name w:val="about1"/>
    <w:qFormat/>
    <w:uiPriority w:val="0"/>
    <w:rPr>
      <w:rFonts w:hint="default" w:ascii="ˎ̥" w:hAnsi="ˎ̥"/>
      <w:sz w:val="18"/>
      <w:szCs w:val="18"/>
    </w:rPr>
  </w:style>
  <w:style w:type="character" w:customStyle="1" w:styleId="210">
    <w:name w:val="三级标题 Char"/>
    <w:link w:val="211"/>
    <w:qFormat/>
    <w:uiPriority w:val="0"/>
    <w:rPr>
      <w:rFonts w:ascii="Calibri" w:hAnsi="Calibri"/>
      <w:b/>
      <w:kern w:val="2"/>
      <w:sz w:val="24"/>
      <w:szCs w:val="22"/>
    </w:rPr>
  </w:style>
  <w:style w:type="paragraph" w:customStyle="1" w:styleId="211">
    <w:name w:val="三级标题"/>
    <w:basedOn w:val="1"/>
    <w:link w:val="210"/>
    <w:qFormat/>
    <w:uiPriority w:val="0"/>
    <w:pPr>
      <w:spacing w:line="360" w:lineRule="auto"/>
    </w:pPr>
    <w:rPr>
      <w:rFonts w:ascii="Calibri" w:hAnsi="Calibri"/>
      <w:b/>
      <w:sz w:val="24"/>
      <w:szCs w:val="22"/>
    </w:rPr>
  </w:style>
  <w:style w:type="character" w:customStyle="1" w:styleId="212">
    <w:name w:val="正文文本缩进 2 Char"/>
    <w:qFormat/>
    <w:uiPriority w:val="0"/>
    <w:rPr>
      <w:rFonts w:ascii="Arial" w:hAnsi="Arial" w:eastAsia="仿宋_GB2312" w:cs="Arial"/>
      <w:kern w:val="2"/>
      <w:sz w:val="32"/>
      <w:szCs w:val="32"/>
    </w:rPr>
  </w:style>
  <w:style w:type="character" w:customStyle="1" w:styleId="213">
    <w:name w:val="表身 Char Char"/>
    <w:link w:val="214"/>
    <w:qFormat/>
    <w:uiPriority w:val="0"/>
    <w:rPr>
      <w:sz w:val="18"/>
    </w:rPr>
  </w:style>
  <w:style w:type="paragraph" w:customStyle="1" w:styleId="214">
    <w:name w:val="表身 Char"/>
    <w:link w:val="213"/>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character" w:customStyle="1" w:styleId="215">
    <w:name w:val="style2611"/>
    <w:qFormat/>
    <w:uiPriority w:val="0"/>
    <w:rPr>
      <w:sz w:val="18"/>
      <w:szCs w:val="18"/>
    </w:rPr>
  </w:style>
  <w:style w:type="character" w:customStyle="1" w:styleId="216">
    <w:name w:val="样式2 Char"/>
    <w:link w:val="217"/>
    <w:qFormat/>
    <w:uiPriority w:val="0"/>
    <w:rPr>
      <w:rFonts w:eastAsia="楷体"/>
      <w:b/>
      <w:kern w:val="2"/>
      <w:sz w:val="28"/>
      <w:szCs w:val="28"/>
    </w:rPr>
  </w:style>
  <w:style w:type="paragraph" w:customStyle="1" w:styleId="217">
    <w:name w:val="样式2"/>
    <w:basedOn w:val="9"/>
    <w:link w:val="216"/>
    <w:qFormat/>
    <w:uiPriority w:val="0"/>
    <w:pPr>
      <w:keepLines w:val="0"/>
      <w:spacing w:after="240" w:line="240" w:lineRule="auto"/>
      <w:jc w:val="left"/>
    </w:pPr>
    <w:rPr>
      <w:rFonts w:ascii="Times New Roman" w:hAnsi="Times New Roman" w:eastAsia="楷体"/>
      <w:bCs w:val="0"/>
      <w:sz w:val="28"/>
      <w:szCs w:val="28"/>
    </w:rPr>
  </w:style>
  <w:style w:type="character" w:customStyle="1" w:styleId="218">
    <w:name w:val="v151"/>
    <w:qFormat/>
    <w:uiPriority w:val="0"/>
    <w:rPr>
      <w:sz w:val="18"/>
      <w:szCs w:val="18"/>
    </w:rPr>
  </w:style>
  <w:style w:type="character" w:customStyle="1" w:styleId="219">
    <w:name w:val="font"/>
    <w:qFormat/>
    <w:uiPriority w:val="0"/>
  </w:style>
  <w:style w:type="character" w:customStyle="1" w:styleId="220">
    <w:name w:val="副标题 Char1"/>
    <w:qFormat/>
    <w:uiPriority w:val="0"/>
    <w:rPr>
      <w:rFonts w:ascii="Cambria" w:hAnsi="Cambria" w:cs="Times New Roman"/>
      <w:b/>
      <w:bCs/>
      <w:kern w:val="28"/>
      <w:sz w:val="32"/>
      <w:szCs w:val="32"/>
    </w:rPr>
  </w:style>
  <w:style w:type="character" w:customStyle="1" w:styleId="221">
    <w:name w:val="明显引用 Char2"/>
    <w:qFormat/>
    <w:uiPriority w:val="30"/>
    <w:rPr>
      <w:b/>
      <w:bCs/>
      <w:i/>
      <w:iCs/>
      <w:color w:val="4F81BD"/>
      <w:kern w:val="2"/>
      <w:sz w:val="21"/>
      <w:szCs w:val="21"/>
    </w:rPr>
  </w:style>
  <w:style w:type="character" w:customStyle="1" w:styleId="222">
    <w:name w:val="引用 Char1"/>
    <w:qFormat/>
    <w:uiPriority w:val="29"/>
    <w:rPr>
      <w:i/>
      <w:iCs/>
      <w:color w:val="000000"/>
      <w:kern w:val="2"/>
      <w:sz w:val="21"/>
      <w:szCs w:val="21"/>
    </w:rPr>
  </w:style>
  <w:style w:type="character" w:customStyle="1" w:styleId="223">
    <w:name w:val="批注框文本 Char2"/>
    <w:basedOn w:val="55"/>
    <w:link w:val="35"/>
    <w:semiHidden/>
    <w:qFormat/>
    <w:uiPriority w:val="99"/>
    <w:rPr>
      <w:kern w:val="2"/>
      <w:sz w:val="18"/>
      <w:szCs w:val="18"/>
    </w:rPr>
  </w:style>
  <w:style w:type="character" w:customStyle="1" w:styleId="224">
    <w:name w:val="批注文字 Char1"/>
    <w:basedOn w:val="55"/>
    <w:link w:val="22"/>
    <w:semiHidden/>
    <w:qFormat/>
    <w:uiPriority w:val="99"/>
    <w:rPr>
      <w:kern w:val="2"/>
      <w:sz w:val="21"/>
      <w:szCs w:val="21"/>
    </w:rPr>
  </w:style>
  <w:style w:type="character" w:customStyle="1" w:styleId="225">
    <w:name w:val="批注主题 Char1"/>
    <w:basedOn w:val="224"/>
    <w:link w:val="50"/>
    <w:semiHidden/>
    <w:qFormat/>
    <w:uiPriority w:val="99"/>
    <w:rPr>
      <w:b/>
      <w:bCs/>
      <w:kern w:val="2"/>
      <w:sz w:val="21"/>
      <w:szCs w:val="21"/>
    </w:rPr>
  </w:style>
  <w:style w:type="character" w:customStyle="1" w:styleId="226">
    <w:name w:val="正文文本缩进 3 Char1"/>
    <w:basedOn w:val="55"/>
    <w:link w:val="43"/>
    <w:semiHidden/>
    <w:qFormat/>
    <w:uiPriority w:val="99"/>
    <w:rPr>
      <w:kern w:val="2"/>
      <w:sz w:val="16"/>
      <w:szCs w:val="16"/>
    </w:rPr>
  </w:style>
  <w:style w:type="character" w:customStyle="1" w:styleId="227">
    <w:name w:val="正文文本 Char2"/>
    <w:basedOn w:val="55"/>
    <w:link w:val="2"/>
    <w:semiHidden/>
    <w:qFormat/>
    <w:uiPriority w:val="99"/>
    <w:rPr>
      <w:kern w:val="2"/>
      <w:sz w:val="21"/>
      <w:szCs w:val="21"/>
    </w:rPr>
  </w:style>
  <w:style w:type="character" w:customStyle="1" w:styleId="228">
    <w:name w:val="文档结构图 Char2"/>
    <w:basedOn w:val="55"/>
    <w:link w:val="20"/>
    <w:semiHidden/>
    <w:qFormat/>
    <w:uiPriority w:val="99"/>
    <w:rPr>
      <w:rFonts w:ascii="宋体"/>
      <w:kern w:val="2"/>
      <w:sz w:val="18"/>
      <w:szCs w:val="18"/>
    </w:rPr>
  </w:style>
  <w:style w:type="character" w:customStyle="1" w:styleId="229">
    <w:name w:val="日期 Char1"/>
    <w:basedOn w:val="55"/>
    <w:link w:val="33"/>
    <w:semiHidden/>
    <w:qFormat/>
    <w:uiPriority w:val="99"/>
    <w:rPr>
      <w:kern w:val="2"/>
      <w:sz w:val="21"/>
      <w:szCs w:val="21"/>
    </w:rPr>
  </w:style>
  <w:style w:type="character" w:customStyle="1" w:styleId="230">
    <w:name w:val="正文文本缩进 Char1"/>
    <w:basedOn w:val="55"/>
    <w:link w:val="24"/>
    <w:semiHidden/>
    <w:qFormat/>
    <w:uiPriority w:val="99"/>
    <w:rPr>
      <w:kern w:val="2"/>
      <w:sz w:val="21"/>
      <w:szCs w:val="21"/>
    </w:rPr>
  </w:style>
  <w:style w:type="character" w:customStyle="1" w:styleId="231">
    <w:name w:val="正文首行缩进 2 Char1"/>
    <w:basedOn w:val="230"/>
    <w:link w:val="52"/>
    <w:semiHidden/>
    <w:qFormat/>
    <w:uiPriority w:val="99"/>
    <w:rPr>
      <w:kern w:val="2"/>
      <w:sz w:val="21"/>
      <w:szCs w:val="21"/>
    </w:rPr>
  </w:style>
  <w:style w:type="character" w:customStyle="1" w:styleId="232">
    <w:name w:val="纯文本 Char1"/>
    <w:basedOn w:val="55"/>
    <w:link w:val="233"/>
    <w:qFormat/>
    <w:uiPriority w:val="0"/>
    <w:rPr>
      <w:rFonts w:ascii="宋体" w:hAnsi="Courier New" w:cs="Courier New"/>
      <w:kern w:val="2"/>
      <w:sz w:val="21"/>
      <w:szCs w:val="21"/>
    </w:rPr>
  </w:style>
  <w:style w:type="paragraph" w:customStyle="1" w:styleId="233">
    <w:name w:val="纯文本1"/>
    <w:basedOn w:val="1"/>
    <w:link w:val="232"/>
    <w:qFormat/>
    <w:uiPriority w:val="0"/>
    <w:rPr>
      <w:rFonts w:ascii="宋体" w:hAnsi="Courier New" w:cs="Courier New"/>
    </w:rPr>
  </w:style>
  <w:style w:type="character" w:customStyle="1" w:styleId="234">
    <w:name w:val="正文首行缩进 Char1"/>
    <w:basedOn w:val="227"/>
    <w:link w:val="51"/>
    <w:semiHidden/>
    <w:qFormat/>
    <w:uiPriority w:val="99"/>
    <w:rPr>
      <w:kern w:val="2"/>
      <w:sz w:val="21"/>
      <w:szCs w:val="21"/>
    </w:rPr>
  </w:style>
  <w:style w:type="character" w:customStyle="1" w:styleId="235">
    <w:name w:val="正文文本 2 Char1"/>
    <w:basedOn w:val="55"/>
    <w:link w:val="3"/>
    <w:semiHidden/>
    <w:qFormat/>
    <w:uiPriority w:val="99"/>
    <w:rPr>
      <w:kern w:val="2"/>
      <w:sz w:val="21"/>
      <w:szCs w:val="21"/>
    </w:rPr>
  </w:style>
  <w:style w:type="character" w:customStyle="1" w:styleId="236">
    <w:name w:val="副标题 Char2"/>
    <w:basedOn w:val="55"/>
    <w:link w:val="40"/>
    <w:qFormat/>
    <w:uiPriority w:val="0"/>
    <w:rPr>
      <w:rFonts w:asciiTheme="majorHAnsi" w:hAnsiTheme="majorHAnsi" w:cstheme="majorBidi"/>
      <w:b/>
      <w:bCs/>
      <w:kern w:val="28"/>
      <w:sz w:val="32"/>
      <w:szCs w:val="32"/>
    </w:rPr>
  </w:style>
  <w:style w:type="character" w:customStyle="1" w:styleId="237">
    <w:name w:val="正文文本缩进 2 Char2"/>
    <w:basedOn w:val="55"/>
    <w:link w:val="34"/>
    <w:semiHidden/>
    <w:qFormat/>
    <w:uiPriority w:val="99"/>
    <w:rPr>
      <w:kern w:val="2"/>
      <w:sz w:val="21"/>
      <w:szCs w:val="21"/>
    </w:rPr>
  </w:style>
  <w:style w:type="character" w:customStyle="1" w:styleId="238">
    <w:name w:val="正文文本 3 Char"/>
    <w:basedOn w:val="55"/>
    <w:link w:val="23"/>
    <w:qFormat/>
    <w:uiPriority w:val="0"/>
    <w:rPr>
      <w:rFonts w:ascii="仿宋_GB2312" w:hAnsi="Arial" w:eastAsia="仿宋_GB2312"/>
      <w:kern w:val="2"/>
      <w:sz w:val="32"/>
      <w:szCs w:val="32"/>
    </w:rPr>
  </w:style>
  <w:style w:type="paragraph" w:customStyle="1" w:styleId="239">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24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41">
    <w:name w:val="列表内容"/>
    <w:basedOn w:val="1"/>
    <w:next w:val="1"/>
    <w:qFormat/>
    <w:uiPriority w:val="0"/>
    <w:pPr>
      <w:widowControl/>
      <w:tabs>
        <w:tab w:val="left" w:pos="900"/>
      </w:tabs>
      <w:ind w:left="900" w:hanging="420"/>
      <w:jc w:val="left"/>
    </w:pPr>
    <w:rPr>
      <w:kern w:val="0"/>
      <w:sz w:val="18"/>
      <w:szCs w:val="24"/>
    </w:rPr>
  </w:style>
  <w:style w:type="paragraph" w:customStyle="1" w:styleId="242">
    <w:name w:val="Char Char 字元 字元 字元 Char Char Char Char"/>
    <w:basedOn w:val="1"/>
    <w:qFormat/>
    <w:uiPriority w:val="0"/>
    <w:pPr>
      <w:adjustRightInd w:val="0"/>
      <w:spacing w:line="360" w:lineRule="auto"/>
    </w:pPr>
    <w:rPr>
      <w:kern w:val="0"/>
      <w:sz w:val="24"/>
      <w:szCs w:val="20"/>
    </w:rPr>
  </w:style>
  <w:style w:type="paragraph" w:customStyle="1" w:styleId="243">
    <w:name w:val="Char Char2 Char Char Char Char"/>
    <w:basedOn w:val="1"/>
    <w:qFormat/>
    <w:uiPriority w:val="0"/>
    <w:rPr>
      <w:rFonts w:ascii="Tahoma" w:hAnsi="Tahoma"/>
      <w:sz w:val="24"/>
      <w:szCs w:val="20"/>
    </w:rPr>
  </w:style>
  <w:style w:type="paragraph" w:customStyle="1" w:styleId="244">
    <w:name w:val="_Style 8"/>
    <w:basedOn w:val="1"/>
    <w:qFormat/>
    <w:uiPriority w:val="0"/>
    <w:rPr>
      <w:sz w:val="24"/>
      <w:szCs w:val="20"/>
    </w:rPr>
  </w:style>
  <w:style w:type="paragraph" w:customStyle="1" w:styleId="245">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46">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247">
    <w:name w:val="TextStyle1_Stibo_Grayed"/>
    <w:basedOn w:val="1"/>
    <w:qFormat/>
    <w:uiPriority w:val="0"/>
    <w:pPr>
      <w:widowControl/>
      <w:jc w:val="left"/>
    </w:pPr>
    <w:rPr>
      <w:rFonts w:ascii="Helvetica" w:hAnsi="Helvetica"/>
      <w:color w:val="999999"/>
      <w:kern w:val="0"/>
      <w:sz w:val="20"/>
      <w:szCs w:val="24"/>
      <w:lang w:eastAsia="en-US"/>
    </w:rPr>
  </w:style>
  <w:style w:type="paragraph" w:customStyle="1" w:styleId="248">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249">
    <w:name w:val="附录1"/>
    <w:qFormat/>
    <w:uiPriority w:val="0"/>
    <w:pPr>
      <w:numPr>
        <w:ilvl w:val="0"/>
        <w:numId w:val="5"/>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250">
    <w:name w:val="Char Char Char Char Char Char"/>
    <w:basedOn w:val="1"/>
    <w:qFormat/>
    <w:uiPriority w:val="0"/>
    <w:pPr>
      <w:adjustRightInd w:val="0"/>
      <w:spacing w:line="360" w:lineRule="auto"/>
    </w:pPr>
    <w:rPr>
      <w:kern w:val="0"/>
      <w:sz w:val="24"/>
      <w:szCs w:val="20"/>
    </w:rPr>
  </w:style>
  <w:style w:type="paragraph" w:customStyle="1" w:styleId="251">
    <w:name w:val="TableENHyphenBullets_Stibo_Grayed"/>
    <w:basedOn w:val="252"/>
    <w:next w:val="1"/>
    <w:qFormat/>
    <w:uiPriority w:val="0"/>
    <w:pPr>
      <w:tabs>
        <w:tab w:val="left" w:pos="360"/>
        <w:tab w:val="left" w:pos="720"/>
      </w:tabs>
    </w:pPr>
    <w:rPr>
      <w:color w:val="999999"/>
      <w:szCs w:val="20"/>
    </w:rPr>
  </w:style>
  <w:style w:type="paragraph" w:customStyle="1" w:styleId="252">
    <w:name w:val="TableENHyphenBullets"/>
    <w:next w:val="1"/>
    <w:qFormat/>
    <w:uiPriority w:val="0"/>
    <w:pPr>
      <w:tabs>
        <w:tab w:val="left" w:pos="360"/>
        <w:tab w:val="left" w:pos="720"/>
      </w:tabs>
    </w:pPr>
    <w:rPr>
      <w:rFonts w:ascii="Helvetica" w:hAnsi="Helvetica" w:eastAsia="宋体" w:cs="Times New Roman"/>
      <w:szCs w:val="24"/>
      <w:lang w:val="en-US" w:eastAsia="en-US" w:bidi="ar-SA"/>
    </w:rPr>
  </w:style>
  <w:style w:type="paragraph" w:customStyle="1" w:styleId="253">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4">
    <w:name w:val="4"/>
    <w:basedOn w:val="1"/>
    <w:next w:val="43"/>
    <w:qFormat/>
    <w:uiPriority w:val="0"/>
    <w:pPr>
      <w:spacing w:line="360" w:lineRule="auto"/>
      <w:ind w:firstLine="420"/>
    </w:pPr>
    <w:rPr>
      <w:color w:val="FF0000"/>
      <w:sz w:val="24"/>
      <w:szCs w:val="24"/>
    </w:rPr>
  </w:style>
  <w:style w:type="paragraph" w:customStyle="1" w:styleId="25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7">
    <w:name w:val="正文1"/>
    <w:basedOn w:val="1"/>
    <w:qFormat/>
    <w:uiPriority w:val="0"/>
    <w:pPr>
      <w:widowControl/>
      <w:topLinePunct/>
      <w:spacing w:beforeLines="50" w:afterLines="50" w:line="300" w:lineRule="auto"/>
      <w:ind w:left="420"/>
    </w:pPr>
    <w:rPr>
      <w:szCs w:val="24"/>
    </w:rPr>
  </w:style>
  <w:style w:type="paragraph" w:customStyle="1" w:styleId="25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9">
    <w:name w:val="xl1077"/>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260">
    <w:name w:val="表格标题1"/>
    <w:basedOn w:val="1"/>
    <w:qFormat/>
    <w:uiPriority w:val="0"/>
    <w:pPr>
      <w:spacing w:line="400" w:lineRule="exact"/>
      <w:jc w:val="center"/>
    </w:pPr>
    <w:rPr>
      <w:rFonts w:ascii="Arial" w:hAnsi="Arial" w:cs="宋体"/>
      <w:b/>
      <w:bCs/>
    </w:rPr>
  </w:style>
  <w:style w:type="paragraph" w:customStyle="1" w:styleId="261">
    <w:name w:val="EST-List 8"/>
    <w:basedOn w:val="262"/>
    <w:qFormat/>
    <w:uiPriority w:val="0"/>
    <w:pPr>
      <w:numPr>
        <w:ilvl w:val="0"/>
        <w:numId w:val="0"/>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880"/>
        <w:tab w:val="left" w:pos="2940"/>
        <w:tab w:val="left" w:pos="3120"/>
        <w:tab w:val="left" w:pos="3360"/>
        <w:tab w:val="left" w:pos="3540"/>
        <w:tab w:val="left" w:pos="3780"/>
        <w:tab w:val="left" w:pos="3960"/>
        <w:tab w:val="left" w:pos="4200"/>
      </w:tabs>
    </w:pPr>
  </w:style>
  <w:style w:type="paragraph" w:customStyle="1" w:styleId="262">
    <w:name w:val="EST-List 7"/>
    <w:basedOn w:val="263"/>
    <w:qFormat/>
    <w:uiPriority w:val="0"/>
    <w:pPr>
      <w:numPr>
        <w:ilvl w:val="6"/>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 w:val="left" w:pos="3540"/>
        <w:tab w:val="left" w:pos="3780"/>
      </w:tabs>
    </w:pPr>
  </w:style>
  <w:style w:type="paragraph" w:customStyle="1" w:styleId="263">
    <w:name w:val="EST-List 6"/>
    <w:basedOn w:val="264"/>
    <w:qFormat/>
    <w:uiPriority w:val="0"/>
    <w:pPr>
      <w:numPr>
        <w:ilvl w:val="5"/>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s>
    </w:pPr>
  </w:style>
  <w:style w:type="paragraph" w:customStyle="1" w:styleId="264">
    <w:name w:val="EST-List 5"/>
    <w:basedOn w:val="265"/>
    <w:qFormat/>
    <w:uiPriority w:val="0"/>
    <w:pPr>
      <w:numPr>
        <w:ilvl w:val="4"/>
      </w:numPr>
      <w:tabs>
        <w:tab w:val="left" w:pos="300"/>
        <w:tab w:val="left" w:pos="360"/>
        <w:tab w:val="left" w:pos="600"/>
        <w:tab w:val="left" w:pos="1080"/>
        <w:tab w:val="left" w:pos="1260"/>
        <w:tab w:val="left" w:pos="1440"/>
        <w:tab w:val="left" w:pos="1800"/>
        <w:tab w:val="left" w:pos="1860"/>
        <w:tab w:val="left" w:pos="2100"/>
        <w:tab w:val="left" w:pos="2280"/>
        <w:tab w:val="left" w:pos="2520"/>
        <w:tab w:val="left" w:pos="2700"/>
        <w:tab w:val="left" w:pos="2940"/>
      </w:tabs>
      <w:ind w:left="0"/>
    </w:pPr>
  </w:style>
  <w:style w:type="paragraph" w:customStyle="1" w:styleId="265">
    <w:name w:val="EST-List 4"/>
    <w:basedOn w:val="266"/>
    <w:qFormat/>
    <w:uiPriority w:val="0"/>
    <w:pPr>
      <w:numPr>
        <w:ilvl w:val="3"/>
      </w:numPr>
      <w:tabs>
        <w:tab w:val="left" w:pos="300"/>
        <w:tab w:val="left" w:pos="360"/>
        <w:tab w:val="left" w:pos="600"/>
        <w:tab w:val="left" w:pos="1080"/>
        <w:tab w:val="left" w:pos="1260"/>
        <w:tab w:val="left" w:pos="1440"/>
        <w:tab w:val="left" w:pos="1860"/>
        <w:tab w:val="left" w:pos="2100"/>
        <w:tab w:val="left" w:pos="2280"/>
        <w:tab w:val="left" w:pos="2520"/>
      </w:tabs>
      <w:ind w:left="600" w:hanging="2920"/>
    </w:pPr>
  </w:style>
  <w:style w:type="paragraph" w:customStyle="1" w:styleId="266">
    <w:name w:val="EST-List 3"/>
    <w:basedOn w:val="267"/>
    <w:qFormat/>
    <w:uiPriority w:val="0"/>
    <w:pPr>
      <w:numPr>
        <w:ilvl w:val="2"/>
      </w:numPr>
      <w:tabs>
        <w:tab w:val="left" w:pos="300"/>
        <w:tab w:val="left" w:pos="360"/>
        <w:tab w:val="left" w:pos="1080"/>
        <w:tab w:val="left" w:pos="1260"/>
        <w:tab w:val="left" w:pos="1860"/>
        <w:tab w:val="left" w:pos="2100"/>
      </w:tabs>
      <w:ind w:left="300" w:hanging="2620"/>
    </w:pPr>
  </w:style>
  <w:style w:type="paragraph" w:customStyle="1" w:styleId="267">
    <w:name w:val="EST-List 2"/>
    <w:basedOn w:val="1"/>
    <w:qFormat/>
    <w:uiPriority w:val="0"/>
    <w:pPr>
      <w:keepLines/>
      <w:widowControl/>
      <w:numPr>
        <w:ilvl w:val="1"/>
        <w:numId w:val="6"/>
      </w:numPr>
      <w:spacing w:before="60" w:after="60"/>
      <w:jc w:val="left"/>
    </w:pPr>
    <w:rPr>
      <w:kern w:val="0"/>
      <w:sz w:val="20"/>
      <w:szCs w:val="24"/>
    </w:rPr>
  </w:style>
  <w:style w:type="paragraph" w:customStyle="1" w:styleId="268">
    <w:name w:val="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7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7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3">
    <w:name w:val="a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4">
    <w:name w:val="xl10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275">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76">
    <w:name w:val="xl10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277">
    <w:name w:val="Body Text(ch)"/>
    <w:basedOn w:val="1"/>
    <w:next w:val="2"/>
    <w:qFormat/>
    <w:uiPriority w:val="0"/>
    <w:pPr>
      <w:spacing w:after="120"/>
    </w:pPr>
    <w:rPr>
      <w:rFonts w:ascii="宋体" w:hAnsi="Arial"/>
      <w:bCs/>
      <w:iCs/>
      <w:szCs w:val="24"/>
    </w:rPr>
  </w:style>
  <w:style w:type="paragraph" w:customStyle="1" w:styleId="27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9">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80">
    <w:name w:val="Char Char1"/>
    <w:basedOn w:val="1"/>
    <w:qFormat/>
    <w:uiPriority w:val="0"/>
    <w:pPr>
      <w:widowControl/>
      <w:snapToGrid w:val="0"/>
      <w:spacing w:after="160"/>
      <w:ind w:firstLine="300"/>
      <w:jc w:val="left"/>
    </w:pPr>
    <w:rPr>
      <w:rFonts w:ascii="Calibri" w:hAnsi="宋体" w:cs="Arial"/>
      <w:sz w:val="16"/>
    </w:rPr>
  </w:style>
  <w:style w:type="paragraph" w:customStyle="1" w:styleId="281">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83">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284">
    <w:name w:val="hea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
    <w:name w:val="列出段落1"/>
    <w:basedOn w:val="1"/>
    <w:qFormat/>
    <w:uiPriority w:val="0"/>
    <w:pPr>
      <w:ind w:firstLine="420" w:firstLineChars="200"/>
    </w:pPr>
    <w:rPr>
      <w:rFonts w:ascii="Calibri" w:hAnsi="Calibri"/>
      <w:szCs w:val="22"/>
    </w:rPr>
  </w:style>
  <w:style w:type="paragraph" w:customStyle="1" w:styleId="28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287">
    <w:name w:val="xl10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288">
    <w:name w:val="TableText"/>
    <w:qFormat/>
    <w:uiPriority w:val="0"/>
    <w:rPr>
      <w:rFonts w:ascii="Helvetica" w:hAnsi="Helvetica" w:eastAsia="宋体" w:cs="Times New Roman"/>
      <w:sz w:val="18"/>
      <w:szCs w:val="24"/>
      <w:lang w:val="en-US" w:eastAsia="en-US" w:bidi="ar-SA"/>
    </w:rPr>
  </w:style>
  <w:style w:type="paragraph" w:customStyle="1" w:styleId="28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0">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29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9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29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4">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295">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96">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8">
    <w:name w:val="subtitle 2"/>
    <w:basedOn w:val="1"/>
    <w:qFormat/>
    <w:uiPriority w:val="0"/>
    <w:pPr>
      <w:adjustRightInd w:val="0"/>
      <w:spacing w:before="240" w:after="240" w:line="312" w:lineRule="atLeast"/>
    </w:pPr>
    <w:rPr>
      <w:rFonts w:eastAsia="黑体"/>
      <w:kern w:val="0"/>
      <w:sz w:val="24"/>
      <w:szCs w:val="20"/>
    </w:rPr>
  </w:style>
  <w:style w:type="paragraph" w:customStyle="1" w:styleId="299">
    <w:name w:val="Char1"/>
    <w:basedOn w:val="1"/>
    <w:qFormat/>
    <w:uiPriority w:val="0"/>
    <w:pPr>
      <w:tabs>
        <w:tab w:val="left" w:pos="840"/>
      </w:tabs>
      <w:ind w:left="840" w:hanging="420"/>
    </w:pPr>
    <w:rPr>
      <w:sz w:val="24"/>
      <w:szCs w:val="24"/>
    </w:rPr>
  </w:style>
  <w:style w:type="paragraph" w:customStyle="1" w:styleId="300">
    <w:name w:val="xl84"/>
    <w:basedOn w:val="1"/>
    <w:qFormat/>
    <w:uiPriority w:val="0"/>
    <w:pPr>
      <w:widowControl/>
      <w:spacing w:before="100" w:beforeAutospacing="1" w:after="100" w:afterAutospacing="1"/>
      <w:jc w:val="center"/>
      <w:textAlignment w:val="center"/>
    </w:pPr>
    <w:rPr>
      <w:kern w:val="0"/>
      <w:sz w:val="20"/>
      <w:szCs w:val="20"/>
    </w:rPr>
  </w:style>
  <w:style w:type="paragraph" w:customStyle="1" w:styleId="301">
    <w:name w:val="tabletextchar1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2">
    <w:name w:val="表号"/>
    <w:basedOn w:val="1"/>
    <w:next w:val="51"/>
    <w:qFormat/>
    <w:uiPriority w:val="0"/>
    <w:pPr>
      <w:keepNext/>
      <w:keepLines/>
      <w:numPr>
        <w:ilvl w:val="8"/>
        <w:numId w:val="7"/>
      </w:numPr>
      <w:autoSpaceDE w:val="0"/>
      <w:autoSpaceDN w:val="0"/>
      <w:adjustRightInd w:val="0"/>
      <w:spacing w:line="360" w:lineRule="auto"/>
      <w:jc w:val="center"/>
    </w:pPr>
    <w:rPr>
      <w:rFonts w:ascii="Arial" w:hAnsi="Arial"/>
      <w:kern w:val="0"/>
      <w:sz w:val="18"/>
      <w:szCs w:val="18"/>
    </w:rPr>
  </w:style>
  <w:style w:type="paragraph" w:customStyle="1" w:styleId="303">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304">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5">
    <w:name w:val="proddesc1"/>
    <w:basedOn w:val="1"/>
    <w:qFormat/>
    <w:uiPriority w:val="0"/>
    <w:pPr>
      <w:widowControl/>
      <w:spacing w:before="75"/>
      <w:jc w:val="left"/>
    </w:pPr>
    <w:rPr>
      <w:rFonts w:ascii="宋体" w:hAnsi="宋体" w:cs="宋体"/>
      <w:kern w:val="0"/>
      <w:sz w:val="24"/>
      <w:szCs w:val="24"/>
    </w:rPr>
  </w:style>
  <w:style w:type="paragraph" w:customStyle="1" w:styleId="306">
    <w:name w:val="BulletStyle1_Stibo_Grayed"/>
    <w:basedOn w:val="307"/>
    <w:qFormat/>
    <w:uiPriority w:val="0"/>
    <w:pPr>
      <w:tabs>
        <w:tab w:val="left" w:pos="720"/>
      </w:tabs>
    </w:pPr>
    <w:rPr>
      <w:color w:val="999999"/>
    </w:rPr>
  </w:style>
  <w:style w:type="paragraph" w:customStyle="1" w:styleId="307">
    <w:name w:val="BulletStyle1"/>
    <w:qFormat/>
    <w:uiPriority w:val="0"/>
    <w:pPr>
      <w:tabs>
        <w:tab w:val="left" w:pos="720"/>
      </w:tabs>
      <w:ind w:left="720" w:hanging="360"/>
    </w:pPr>
    <w:rPr>
      <w:rFonts w:ascii="Helvetica" w:hAnsi="Helvetica" w:eastAsia="宋体" w:cs="Times New Roman"/>
      <w:szCs w:val="24"/>
      <w:lang w:val="en-US" w:eastAsia="en-US" w:bidi="ar-SA"/>
    </w:rPr>
  </w:style>
  <w:style w:type="paragraph" w:customStyle="1" w:styleId="308">
    <w:name w:val="标题2"/>
    <w:basedOn w:val="5"/>
    <w:qFormat/>
    <w:uiPriority w:val="0"/>
    <w:pPr>
      <w:overflowPunct/>
      <w:adjustRightInd/>
      <w:spacing w:before="260" w:after="260" w:line="416" w:lineRule="auto"/>
      <w:jc w:val="both"/>
      <w:textAlignment w:val="auto"/>
    </w:pPr>
    <w:rPr>
      <w:rFonts w:ascii="Arial" w:hAnsi="Arial" w:eastAsia="宋体"/>
      <w:b w:val="0"/>
      <w:bCs/>
      <w:snapToGrid w:val="0"/>
      <w:kern w:val="0"/>
      <w:sz w:val="32"/>
      <w:szCs w:val="32"/>
    </w:rPr>
  </w:style>
  <w:style w:type="paragraph" w:customStyle="1" w:styleId="309">
    <w:name w:val="文本框样式1"/>
    <w:basedOn w:val="1"/>
    <w:qFormat/>
    <w:uiPriority w:val="0"/>
    <w:pPr>
      <w:spacing w:before="60" w:line="180" w:lineRule="exact"/>
      <w:jc w:val="center"/>
    </w:pPr>
  </w:style>
  <w:style w:type="paragraph" w:customStyle="1" w:styleId="310">
    <w:name w:val="kimzbi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1">
    <w:name w:val="标书内容"/>
    <w:basedOn w:val="1"/>
    <w:qFormat/>
    <w:uiPriority w:val="0"/>
    <w:pPr>
      <w:widowControl/>
      <w:spacing w:line="360" w:lineRule="auto"/>
      <w:ind w:firstLine="200" w:firstLineChars="200"/>
      <w:jc w:val="left"/>
    </w:pPr>
    <w:rPr>
      <w:szCs w:val="20"/>
    </w:rPr>
  </w:style>
  <w:style w:type="paragraph" w:customStyle="1" w:styleId="312">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313">
    <w:name w:val="figur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20"/>
      <w:szCs w:val="20"/>
    </w:rPr>
  </w:style>
  <w:style w:type="paragraph" w:customStyle="1" w:styleId="315">
    <w:name w:val="xl10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1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17">
    <w:name w:val="正文格式"/>
    <w:basedOn w:val="1"/>
    <w:qFormat/>
    <w:uiPriority w:val="0"/>
    <w:pPr>
      <w:widowControl/>
      <w:adjustRightInd w:val="0"/>
      <w:snapToGrid w:val="0"/>
      <w:spacing w:line="360" w:lineRule="atLeast"/>
      <w:ind w:firstLine="482"/>
      <w:textAlignment w:val="baseline"/>
    </w:pPr>
    <w:rPr>
      <w:kern w:val="0"/>
      <w:sz w:val="24"/>
      <w:szCs w:val="20"/>
    </w:rPr>
  </w:style>
  <w:style w:type="paragraph" w:customStyle="1" w:styleId="31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1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320">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21">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character" w:customStyle="1" w:styleId="323">
    <w:name w:val="引用 Char2"/>
    <w:basedOn w:val="55"/>
    <w:link w:val="147"/>
    <w:qFormat/>
    <w:uiPriority w:val="99"/>
    <w:rPr>
      <w:i/>
      <w:iCs/>
      <w:color w:val="000000" w:themeColor="text1"/>
      <w:kern w:val="2"/>
      <w:sz w:val="21"/>
      <w:szCs w:val="21"/>
    </w:rPr>
  </w:style>
  <w:style w:type="paragraph" w:customStyle="1" w:styleId="324">
    <w:name w:val="正文-带编号1)"/>
    <w:basedOn w:val="1"/>
    <w:qFormat/>
    <w:uiPriority w:val="0"/>
    <w:pPr>
      <w:numPr>
        <w:ilvl w:val="0"/>
        <w:numId w:val="8"/>
      </w:numPr>
      <w:spacing w:line="400" w:lineRule="exact"/>
    </w:pPr>
    <w:rPr>
      <w:rFonts w:ascii="Arial" w:hAnsi="Arial"/>
      <w:szCs w:val="24"/>
    </w:rPr>
  </w:style>
  <w:style w:type="paragraph" w:customStyle="1" w:styleId="325">
    <w:name w:val="二级1.1"/>
    <w:basedOn w:val="5"/>
    <w:next w:val="5"/>
    <w:qFormat/>
    <w:uiPriority w:val="0"/>
    <w:pPr>
      <w:overflowPunct/>
      <w:adjustRightInd/>
      <w:spacing w:beforeLines="50"/>
      <w:jc w:val="both"/>
      <w:textAlignment w:val="auto"/>
    </w:pPr>
    <w:rPr>
      <w:rFonts w:ascii="Arial" w:hAnsi="Arial" w:eastAsia="宋体"/>
      <w:bCs/>
      <w:sz w:val="28"/>
      <w:szCs w:val="32"/>
    </w:rPr>
  </w:style>
  <w:style w:type="paragraph" w:customStyle="1" w:styleId="326">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27">
    <w:name w:val="xl1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328">
    <w:name w:val="font11"/>
    <w:basedOn w:val="1"/>
    <w:qFormat/>
    <w:uiPriority w:val="0"/>
    <w:pPr>
      <w:widowControl/>
      <w:spacing w:before="100" w:beforeAutospacing="1" w:after="100" w:afterAutospacing="1"/>
      <w:jc w:val="left"/>
    </w:pPr>
    <w:rPr>
      <w:kern w:val="0"/>
      <w:sz w:val="20"/>
      <w:szCs w:val="20"/>
    </w:rPr>
  </w:style>
  <w:style w:type="paragraph" w:customStyle="1" w:styleId="329">
    <w:name w:val="表格文本"/>
    <w:basedOn w:val="1"/>
    <w:qFormat/>
    <w:uiPriority w:val="0"/>
    <w:pPr>
      <w:tabs>
        <w:tab w:val="decimal" w:pos="0"/>
      </w:tabs>
      <w:autoSpaceDE w:val="0"/>
      <w:autoSpaceDN w:val="0"/>
      <w:adjustRightInd w:val="0"/>
      <w:jc w:val="left"/>
    </w:pPr>
    <w:rPr>
      <w:rFonts w:ascii="Arial" w:hAnsi="Arial"/>
      <w:kern w:val="0"/>
    </w:rPr>
  </w:style>
  <w:style w:type="paragraph" w:customStyle="1" w:styleId="330">
    <w:name w:val="font8"/>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31">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3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3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34">
    <w:name w:val="Char Char Char Char Char Char Char Char Char Char"/>
    <w:basedOn w:val="1"/>
    <w:qFormat/>
    <w:uiPriority w:val="0"/>
    <w:pPr>
      <w:adjustRightInd w:val="0"/>
      <w:spacing w:line="360" w:lineRule="auto"/>
    </w:pPr>
    <w:rPr>
      <w:kern w:val="0"/>
      <w:sz w:val="24"/>
      <w:szCs w:val="20"/>
    </w:rPr>
  </w:style>
  <w:style w:type="paragraph" w:customStyle="1" w:styleId="335">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36">
    <w:name w:val="xl71"/>
    <w:basedOn w:val="1"/>
    <w:qFormat/>
    <w:uiPriority w:val="0"/>
    <w:pPr>
      <w:widowControl/>
      <w:spacing w:before="100" w:beforeAutospacing="1" w:after="100" w:afterAutospacing="1"/>
      <w:jc w:val="left"/>
    </w:pPr>
    <w:rPr>
      <w:kern w:val="0"/>
      <w:sz w:val="18"/>
      <w:szCs w:val="18"/>
    </w:rPr>
  </w:style>
  <w:style w:type="paragraph" w:customStyle="1" w:styleId="33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8">
    <w:name w:val="xl1100"/>
    <w:basedOn w:val="1"/>
    <w:qFormat/>
    <w:uiPriority w:val="0"/>
    <w:pPr>
      <w:widowControl/>
      <w:shd w:val="clear" w:color="000000" w:fill="FFFFFF"/>
      <w:spacing w:before="100" w:beforeAutospacing="1" w:after="100" w:afterAutospacing="1"/>
      <w:jc w:val="left"/>
    </w:pPr>
    <w:rPr>
      <w:rFonts w:ascii="宋体" w:hAnsi="宋体" w:cs="宋体"/>
      <w:color w:val="FF0000"/>
      <w:kern w:val="0"/>
      <w:sz w:val="22"/>
      <w:szCs w:val="22"/>
    </w:rPr>
  </w:style>
  <w:style w:type="paragraph" w:customStyle="1" w:styleId="33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0">
    <w:name w:val="xl14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41">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342">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43">
    <w:name w:val="xl1076"/>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344">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45">
    <w:name w:val="Char"/>
    <w:basedOn w:val="20"/>
    <w:qFormat/>
    <w:uiPriority w:val="0"/>
    <w:rPr>
      <w:rFonts w:ascii="Tahoma" w:hAnsi="Tahoma"/>
      <w:sz w:val="24"/>
      <w:szCs w:val="24"/>
    </w:rPr>
  </w:style>
  <w:style w:type="paragraph" w:customStyle="1" w:styleId="346">
    <w:name w:val="xl10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34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8">
    <w:name w:val="样式 标题 1H1Normal + Font: HelveticaBoldSpace Before 12 ptNot ..."/>
    <w:basedOn w:val="4"/>
    <w:next w:val="4"/>
    <w:qFormat/>
    <w:uiPriority w:val="0"/>
    <w:pPr>
      <w:spacing w:before="100" w:beforeAutospacing="1" w:after="100" w:afterAutospacing="1" w:line="0" w:lineRule="atLeast"/>
    </w:pPr>
    <w:rPr>
      <w:rFonts w:ascii="黑体" w:hAnsi="黑体" w:eastAsia="黑体"/>
      <w:b w:val="0"/>
      <w:sz w:val="28"/>
      <w:szCs w:val="44"/>
    </w:rPr>
  </w:style>
  <w:style w:type="paragraph" w:customStyle="1" w:styleId="349">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50">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51">
    <w:name w:val="table_1stline"/>
    <w:basedOn w:val="1"/>
    <w:qFormat/>
    <w:uiPriority w:val="0"/>
    <w:pPr>
      <w:widowControl/>
      <w:spacing w:before="120"/>
      <w:jc w:val="left"/>
    </w:pPr>
    <w:rPr>
      <w:bCs/>
      <w:kern w:val="0"/>
      <w:sz w:val="20"/>
      <w:szCs w:val="20"/>
      <w:lang w:val="de-DE" w:eastAsia="de-DE"/>
    </w:rPr>
  </w:style>
  <w:style w:type="paragraph" w:customStyle="1" w:styleId="352">
    <w:name w:val="SANGFOR_6_1级编号"/>
    <w:basedOn w:val="353"/>
    <w:qFormat/>
    <w:uiPriority w:val="0"/>
    <w:pPr>
      <w:numPr>
        <w:ilvl w:val="0"/>
        <w:numId w:val="9"/>
      </w:numPr>
      <w:tabs>
        <w:tab w:val="left" w:pos="420"/>
      </w:tabs>
      <w:ind w:firstLine="0" w:firstLineChars="0"/>
    </w:pPr>
  </w:style>
  <w:style w:type="paragraph" w:customStyle="1" w:styleId="353">
    <w:name w:val="SANGFOR_6_正文"/>
    <w:basedOn w:val="1"/>
    <w:qFormat/>
    <w:uiPriority w:val="0"/>
    <w:pPr>
      <w:spacing w:line="360" w:lineRule="auto"/>
      <w:ind w:right="210" w:firstLine="420" w:firstLineChars="200"/>
    </w:pPr>
    <w:rPr>
      <w:szCs w:val="24"/>
    </w:rPr>
  </w:style>
  <w:style w:type="paragraph" w:customStyle="1" w:styleId="354">
    <w:name w:val="Char Char2 Char Char Char Char Char Char Char"/>
    <w:basedOn w:val="1"/>
    <w:qFormat/>
    <w:uiPriority w:val="0"/>
    <w:rPr>
      <w:rFonts w:ascii="Tahoma" w:hAnsi="Tahoma"/>
      <w:sz w:val="24"/>
      <w:szCs w:val="20"/>
    </w:rPr>
  </w:style>
  <w:style w:type="paragraph" w:customStyle="1" w:styleId="355">
    <w:name w:val="xl82"/>
    <w:basedOn w:val="1"/>
    <w:qFormat/>
    <w:uiPriority w:val="0"/>
    <w:pPr>
      <w:widowControl/>
      <w:spacing w:before="100" w:beforeAutospacing="1" w:after="100" w:afterAutospacing="1"/>
      <w:jc w:val="center"/>
      <w:textAlignment w:val="center"/>
    </w:pPr>
    <w:rPr>
      <w:kern w:val="0"/>
      <w:sz w:val="20"/>
      <w:szCs w:val="20"/>
    </w:rPr>
  </w:style>
  <w:style w:type="paragraph" w:customStyle="1" w:styleId="356">
    <w:name w:val="图样式"/>
    <w:basedOn w:val="1"/>
    <w:qFormat/>
    <w:uiPriority w:val="0"/>
    <w:pPr>
      <w:keepNext/>
      <w:widowControl/>
      <w:autoSpaceDE w:val="0"/>
      <w:autoSpaceDN w:val="0"/>
      <w:adjustRightInd w:val="0"/>
      <w:spacing w:before="80" w:after="80" w:line="360" w:lineRule="auto"/>
      <w:jc w:val="center"/>
    </w:pPr>
    <w:rPr>
      <w:kern w:val="0"/>
      <w:szCs w:val="20"/>
    </w:rPr>
  </w:style>
  <w:style w:type="paragraph" w:customStyle="1" w:styleId="357">
    <w:name w:val="table_lines"/>
    <w:basedOn w:val="1"/>
    <w:qFormat/>
    <w:uiPriority w:val="0"/>
    <w:pPr>
      <w:widowControl/>
      <w:jc w:val="left"/>
    </w:pPr>
    <w:rPr>
      <w:kern w:val="0"/>
      <w:sz w:val="20"/>
      <w:szCs w:val="20"/>
      <w:lang w:val="de-DE" w:eastAsia="de-DE"/>
    </w:rPr>
  </w:style>
  <w:style w:type="paragraph" w:customStyle="1" w:styleId="358">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5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0">
    <w:name w:val="Char Char Char Char"/>
    <w:basedOn w:val="20"/>
    <w:qFormat/>
    <w:uiPriority w:val="0"/>
    <w:pPr>
      <w:adjustRightInd w:val="0"/>
      <w:snapToGrid w:val="0"/>
      <w:spacing w:line="360" w:lineRule="auto"/>
    </w:pPr>
    <w:rPr>
      <w:rFonts w:ascii="Tahoma" w:hAnsi="Tahoma"/>
      <w:sz w:val="24"/>
      <w:szCs w:val="24"/>
    </w:rPr>
  </w:style>
  <w:style w:type="paragraph" w:customStyle="1" w:styleId="361">
    <w:name w:val="表格文字"/>
    <w:next w:val="1"/>
    <w:qFormat/>
    <w:uiPriority w:val="0"/>
    <w:rPr>
      <w:rFonts w:ascii="Times New Roman" w:hAnsi="Times New Roman" w:eastAsia="宋体" w:cs="Times New Roman"/>
      <w:sz w:val="21"/>
      <w:lang w:val="en-US" w:eastAsia="zh-CN" w:bidi="ar-SA"/>
    </w:rPr>
  </w:style>
  <w:style w:type="paragraph" w:customStyle="1" w:styleId="362">
    <w:name w:val="xl10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363">
    <w:name w:val="段落"/>
    <w:basedOn w:val="1"/>
    <w:qFormat/>
    <w:uiPriority w:val="0"/>
    <w:pPr>
      <w:spacing w:before="120" w:after="120" w:line="0" w:lineRule="atLeast"/>
      <w:ind w:firstLine="567"/>
    </w:pPr>
    <w:rPr>
      <w:sz w:val="28"/>
      <w:szCs w:val="20"/>
    </w:rPr>
  </w:style>
  <w:style w:type="paragraph" w:customStyle="1" w:styleId="364">
    <w:name w:val="font1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65">
    <w:name w:val="正文内容"/>
    <w:basedOn w:val="1"/>
    <w:qFormat/>
    <w:uiPriority w:val="0"/>
    <w:pPr>
      <w:spacing w:line="520" w:lineRule="exact"/>
      <w:ind w:firstLine="200" w:firstLineChars="200"/>
    </w:pPr>
    <w:rPr>
      <w:rFonts w:ascii="方正仿宋简体" w:eastAsia="方正仿宋简体"/>
      <w:sz w:val="28"/>
      <w:szCs w:val="24"/>
    </w:rPr>
  </w:style>
  <w:style w:type="paragraph" w:customStyle="1" w:styleId="366">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67">
    <w:name w:val="xl10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68">
    <w:name w:val="_Style 225"/>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6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0">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71">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72">
    <w:name w:val="正文，首行缩进:"/>
    <w:basedOn w:val="1"/>
    <w:qFormat/>
    <w:uiPriority w:val="0"/>
    <w:pPr>
      <w:spacing w:line="360" w:lineRule="auto"/>
      <w:ind w:firstLine="480" w:firstLineChars="200"/>
      <w:jc w:val="left"/>
    </w:pPr>
    <w:rPr>
      <w:rFonts w:ascii="仿宋_GB2312" w:hAnsi="Arial" w:eastAsia="仿宋_GB2312"/>
      <w:kern w:val="0"/>
      <w:sz w:val="24"/>
      <w:szCs w:val="20"/>
    </w:rPr>
  </w:style>
  <w:style w:type="paragraph" w:customStyle="1" w:styleId="373">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374">
    <w:name w:val="Char Char Char Char1"/>
    <w:basedOn w:val="20"/>
    <w:qFormat/>
    <w:uiPriority w:val="0"/>
    <w:pPr>
      <w:adjustRightInd w:val="0"/>
      <w:snapToGrid w:val="0"/>
      <w:spacing w:line="360" w:lineRule="auto"/>
    </w:pPr>
    <w:rPr>
      <w:rFonts w:ascii="Tahoma" w:hAnsi="Tahoma"/>
      <w:sz w:val="24"/>
      <w:szCs w:val="24"/>
    </w:rPr>
  </w:style>
  <w:style w:type="paragraph" w:customStyle="1" w:styleId="375">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77">
    <w:name w:val="duc_title"/>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78">
    <w:name w:val="xl1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9">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80">
    <w:name w:val="figure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2">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2"/>
      <w:szCs w:val="22"/>
    </w:rPr>
  </w:style>
  <w:style w:type="paragraph" w:customStyle="1" w:styleId="383">
    <w:name w:val="font16"/>
    <w:basedOn w:val="1"/>
    <w:qFormat/>
    <w:uiPriority w:val="0"/>
    <w:pPr>
      <w:widowControl/>
      <w:spacing w:before="100" w:beforeAutospacing="1" w:after="100" w:afterAutospacing="1"/>
      <w:jc w:val="left"/>
    </w:pPr>
    <w:rPr>
      <w:kern w:val="0"/>
      <w:sz w:val="20"/>
      <w:szCs w:val="20"/>
    </w:rPr>
  </w:style>
  <w:style w:type="paragraph" w:customStyle="1" w:styleId="384">
    <w:name w:val="figuredescriptio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5">
    <w:name w:val="框下空行"/>
    <w:basedOn w:val="386"/>
    <w:next w:val="386"/>
    <w:qFormat/>
    <w:uiPriority w:val="0"/>
    <w:pPr>
      <w:spacing w:before="0" w:after="0" w:line="240" w:lineRule="exact"/>
    </w:pPr>
  </w:style>
  <w:style w:type="paragraph" w:customStyle="1" w:styleId="386">
    <w:name w:val="正文 1"/>
    <w:basedOn w:val="1"/>
    <w:qFormat/>
    <w:uiPriority w:val="0"/>
    <w:pPr>
      <w:widowControl/>
      <w:adjustRightInd w:val="0"/>
      <w:snapToGrid w:val="0"/>
      <w:spacing w:before="80" w:after="80" w:line="360" w:lineRule="auto"/>
      <w:ind w:left="1418"/>
    </w:pPr>
    <w:rPr>
      <w:szCs w:val="20"/>
    </w:rPr>
  </w:style>
  <w:style w:type="paragraph" w:customStyle="1" w:styleId="387">
    <w:name w:val="xl1074"/>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388">
    <w:name w:val="ColumnHead_Stibo_Grayed"/>
    <w:basedOn w:val="1"/>
    <w:qFormat/>
    <w:uiPriority w:val="0"/>
    <w:pPr>
      <w:widowControl/>
      <w:jc w:val="left"/>
    </w:pPr>
    <w:rPr>
      <w:rFonts w:ascii="Helvetica" w:hAnsi="Helvetica"/>
      <w:b/>
      <w:color w:val="999999"/>
      <w:kern w:val="0"/>
      <w:sz w:val="20"/>
      <w:szCs w:val="24"/>
      <w:lang w:eastAsia="en-US"/>
    </w:rPr>
  </w:style>
  <w:style w:type="paragraph" w:customStyle="1" w:styleId="389">
    <w:name w:val="Char2"/>
    <w:basedOn w:val="1"/>
    <w:qFormat/>
    <w:uiPriority w:val="0"/>
    <w:pPr>
      <w:tabs>
        <w:tab w:val="left" w:pos="360"/>
      </w:tabs>
      <w:ind w:firstLine="200" w:firstLineChars="200"/>
    </w:pPr>
    <w:rPr>
      <w:sz w:val="28"/>
      <w:szCs w:val="30"/>
    </w:rPr>
  </w:style>
  <w:style w:type="paragraph" w:customStyle="1" w:styleId="390">
    <w:name w:val="TextHead1_Stibo_Grayed"/>
    <w:basedOn w:val="1"/>
    <w:qFormat/>
    <w:uiPriority w:val="0"/>
    <w:pPr>
      <w:widowControl/>
      <w:jc w:val="left"/>
    </w:pPr>
    <w:rPr>
      <w:rFonts w:ascii="Helvetica" w:hAnsi="Helvetica"/>
      <w:b/>
      <w:color w:val="999999"/>
      <w:kern w:val="0"/>
      <w:sz w:val="24"/>
      <w:szCs w:val="24"/>
      <w:lang w:eastAsia="en-US"/>
    </w:rPr>
  </w:style>
  <w:style w:type="paragraph" w:customStyle="1" w:styleId="391">
    <w:name w:val="xl112"/>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39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39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9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95">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96">
    <w:name w:val="bcgg"/>
    <w:basedOn w:val="1"/>
    <w:qFormat/>
    <w:uiPriority w:val="0"/>
    <w:pPr>
      <w:widowControl/>
      <w:spacing w:before="100" w:beforeAutospacing="1" w:after="100" w:afterAutospacing="1" w:line="300" w:lineRule="atLeast"/>
      <w:jc w:val="left"/>
    </w:pPr>
    <w:rPr>
      <w:rFonts w:ascii="ˎ̥" w:hAnsi="ˎ̥"/>
      <w:color w:val="323433"/>
      <w:kern w:val="0"/>
      <w:sz w:val="18"/>
      <w:szCs w:val="20"/>
    </w:rPr>
  </w:style>
  <w:style w:type="paragraph" w:customStyle="1" w:styleId="397">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398">
    <w:name w:val="nei"/>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9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40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01">
    <w:name w:val="titletext6"/>
    <w:basedOn w:val="1"/>
    <w:qFormat/>
    <w:uiPriority w:val="0"/>
    <w:pPr>
      <w:widowControl/>
      <w:spacing w:before="120" w:after="100" w:afterAutospacing="1" w:line="450" w:lineRule="atLeast"/>
      <w:jc w:val="left"/>
    </w:pPr>
    <w:rPr>
      <w:rFonts w:ascii="宋体" w:hAnsi="宋体" w:cs="宋体"/>
      <w:color w:val="C50B1E"/>
      <w:kern w:val="0"/>
      <w:sz w:val="24"/>
      <w:szCs w:val="24"/>
    </w:rPr>
  </w:style>
  <w:style w:type="paragraph" w:customStyle="1" w:styleId="402">
    <w:name w:val="Char Char Char"/>
    <w:basedOn w:val="1"/>
    <w:qFormat/>
    <w:uiPriority w:val="0"/>
    <w:rPr>
      <w:rFonts w:ascii="Arial" w:hAnsi="Arial" w:cs="Arial"/>
      <w:szCs w:val="24"/>
    </w:rPr>
  </w:style>
  <w:style w:type="paragraph" w:customStyle="1" w:styleId="403">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4">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5">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6">
    <w:name w:val="figuredescription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7">
    <w:name w:val="figur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8">
    <w:name w:val="TableBulletStyle1_Stibo_Grayed"/>
    <w:basedOn w:val="409"/>
    <w:next w:val="411"/>
    <w:qFormat/>
    <w:uiPriority w:val="0"/>
    <w:pPr>
      <w:tabs>
        <w:tab w:val="left" w:pos="360"/>
        <w:tab w:val="left" w:pos="720"/>
      </w:tabs>
    </w:pPr>
    <w:rPr>
      <w:color w:val="999999"/>
      <w:szCs w:val="20"/>
    </w:rPr>
  </w:style>
  <w:style w:type="paragraph" w:customStyle="1" w:styleId="409">
    <w:name w:val="TableBulletStyle1"/>
    <w:next w:val="410"/>
    <w:qFormat/>
    <w:uiPriority w:val="0"/>
    <w:pPr>
      <w:keepNext/>
      <w:tabs>
        <w:tab w:val="left" w:pos="360"/>
        <w:tab w:val="left" w:pos="720"/>
      </w:tabs>
    </w:pPr>
    <w:rPr>
      <w:rFonts w:ascii="Helvetica" w:hAnsi="Helvetica" w:eastAsia="宋体" w:cs="Times New Roman"/>
      <w:szCs w:val="24"/>
      <w:lang w:val="en-GB" w:eastAsia="en-US" w:bidi="ar-SA"/>
    </w:rPr>
  </w:style>
  <w:style w:type="paragraph" w:customStyle="1" w:styleId="410">
    <w:name w:val="TableBulletStyle1_NoBullet"/>
    <w:next w:val="409"/>
    <w:qFormat/>
    <w:uiPriority w:val="0"/>
    <w:pPr>
      <w:tabs>
        <w:tab w:val="left" w:pos="720"/>
      </w:tabs>
      <w:ind w:left="720"/>
    </w:pPr>
    <w:rPr>
      <w:rFonts w:ascii="Helvetica" w:hAnsi="Helvetica" w:eastAsia="宋体" w:cs="Times New Roman"/>
      <w:szCs w:val="2"/>
      <w:lang w:val="en-US" w:eastAsia="en-US" w:bidi="ar-SA"/>
    </w:rPr>
  </w:style>
  <w:style w:type="paragraph" w:customStyle="1" w:styleId="411">
    <w:name w:val="TableBulletStyle1_NB_Stibo_Grayed"/>
    <w:basedOn w:val="410"/>
    <w:next w:val="408"/>
    <w:qFormat/>
    <w:uiPriority w:val="0"/>
    <w:rPr>
      <w:color w:val="999999"/>
      <w:szCs w:val="20"/>
    </w:rPr>
  </w:style>
  <w:style w:type="paragraph" w:customStyle="1" w:styleId="412">
    <w:name w:val="图形文字"/>
    <w:next w:val="1"/>
    <w:qFormat/>
    <w:uiPriority w:val="0"/>
    <w:pPr>
      <w:jc w:val="center"/>
    </w:pPr>
    <w:rPr>
      <w:rFonts w:ascii="Times New Roman" w:hAnsi="Times New Roman" w:eastAsia="宋体" w:cs="Times New Roman"/>
      <w:color w:val="000000"/>
      <w:sz w:val="24"/>
      <w:lang w:val="en-US" w:eastAsia="zh-CN" w:bidi="ar-SA"/>
    </w:rPr>
  </w:style>
  <w:style w:type="paragraph" w:customStyle="1" w:styleId="413">
    <w:name w:val="xl1060"/>
    <w:basedOn w:val="1"/>
    <w:qFormat/>
    <w:uiPriority w:val="0"/>
    <w:pPr>
      <w:widowControl/>
      <w:shd w:val="clear" w:color="000000" w:fill="FFFFFF"/>
      <w:spacing w:before="100" w:beforeAutospacing="1" w:after="100" w:afterAutospacing="1"/>
      <w:jc w:val="left"/>
    </w:pPr>
    <w:rPr>
      <w:rFonts w:ascii="宋体" w:hAnsi="宋体" w:cs="宋体"/>
      <w:kern w:val="0"/>
      <w:sz w:val="22"/>
      <w:szCs w:val="22"/>
    </w:rPr>
  </w:style>
  <w:style w:type="paragraph" w:customStyle="1" w:styleId="414">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15">
    <w:name w:val="缺省文本"/>
    <w:basedOn w:val="1"/>
    <w:qFormat/>
    <w:uiPriority w:val="0"/>
    <w:pPr>
      <w:autoSpaceDE w:val="0"/>
      <w:autoSpaceDN w:val="0"/>
      <w:adjustRightInd w:val="0"/>
      <w:jc w:val="left"/>
    </w:pPr>
    <w:rPr>
      <w:kern w:val="0"/>
      <w:sz w:val="24"/>
      <w:szCs w:val="24"/>
    </w:rPr>
  </w:style>
  <w:style w:type="paragraph" w:customStyle="1" w:styleId="416">
    <w:name w:val="Figure"/>
    <w:basedOn w:val="1"/>
    <w:next w:val="103"/>
    <w:qFormat/>
    <w:uiPriority w:val="0"/>
    <w:pPr>
      <w:keepNext/>
      <w:widowControl/>
      <w:snapToGrid w:val="0"/>
      <w:spacing w:before="80" w:after="80" w:line="300" w:lineRule="auto"/>
      <w:ind w:left="1134"/>
      <w:jc w:val="center"/>
    </w:pPr>
    <w:rPr>
      <w:rFonts w:ascii="Arial" w:hAnsi="Arial" w:cs="Arial"/>
      <w:kern w:val="0"/>
    </w:rPr>
  </w:style>
  <w:style w:type="paragraph" w:customStyle="1" w:styleId="417">
    <w:name w:val="xl1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18">
    <w:name w:val="xl1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419">
    <w:name w:val="文字"/>
    <w:basedOn w:val="1"/>
    <w:qFormat/>
    <w:uiPriority w:val="0"/>
    <w:pPr>
      <w:tabs>
        <w:tab w:val="left" w:pos="8520"/>
      </w:tabs>
      <w:spacing w:line="312" w:lineRule="auto"/>
      <w:ind w:right="-210" w:firstLine="556"/>
    </w:pPr>
    <w:rPr>
      <w:rFonts w:ascii="宋体" w:hAnsi="宋体"/>
      <w:sz w:val="28"/>
      <w:szCs w:val="20"/>
    </w:rPr>
  </w:style>
  <w:style w:type="paragraph" w:customStyle="1" w:styleId="42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1">
    <w:name w:val="xl106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22">
    <w:name w:val="xl1101"/>
    <w:basedOn w:val="1"/>
    <w:qFormat/>
    <w:uiPriority w:val="0"/>
    <w:pPr>
      <w:widowControl/>
      <w:pBdr>
        <w:bottom w:val="single" w:color="auto" w:sz="4" w:space="0"/>
      </w:pBdr>
      <w:shd w:val="clear" w:color="000000" w:fill="FFFFFF"/>
      <w:spacing w:before="100" w:beforeAutospacing="1" w:after="100" w:afterAutospacing="1"/>
      <w:jc w:val="center"/>
    </w:pPr>
    <w:rPr>
      <w:rFonts w:ascii="宋体" w:hAnsi="宋体" w:cs="宋体"/>
      <w:b/>
      <w:bCs/>
      <w:kern w:val="0"/>
      <w:sz w:val="36"/>
      <w:szCs w:val="36"/>
    </w:rPr>
  </w:style>
  <w:style w:type="paragraph" w:customStyle="1" w:styleId="423">
    <w:name w:val="xl1075"/>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424">
    <w:name w:val="xl10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26">
    <w:name w:val="xl10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42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8">
    <w:name w:val="样式17"/>
    <w:basedOn w:val="18"/>
    <w:qFormat/>
    <w:uiPriority w:val="0"/>
    <w:pPr>
      <w:widowControl/>
      <w:tabs>
        <w:tab w:val="left" w:pos="2000"/>
      </w:tabs>
      <w:spacing w:before="120" w:after="360"/>
      <w:ind w:left="840" w:hanging="420"/>
      <w:jc w:val="center"/>
    </w:pPr>
    <w:rPr>
      <w:rFonts w:ascii="Arial" w:hAnsi="Arial" w:eastAsia="宋体"/>
      <w:bCs/>
      <w:kern w:val="0"/>
      <w:sz w:val="18"/>
      <w:lang w:eastAsia="en-US"/>
    </w:rPr>
  </w:style>
  <w:style w:type="paragraph" w:customStyle="1" w:styleId="429">
    <w:name w:val="normal bullet"/>
    <w:basedOn w:val="1"/>
    <w:qFormat/>
    <w:uiPriority w:val="0"/>
    <w:pPr>
      <w:tabs>
        <w:tab w:val="left" w:pos="5656"/>
      </w:tabs>
      <w:spacing w:before="100" w:beforeAutospacing="1" w:after="100" w:afterAutospacing="1"/>
    </w:pPr>
    <w:rPr>
      <w:sz w:val="24"/>
      <w:szCs w:val="24"/>
    </w:rPr>
  </w:style>
  <w:style w:type="paragraph" w:customStyle="1" w:styleId="430">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431">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2">
    <w:name w:val="正文（首行不缩进）"/>
    <w:basedOn w:val="1"/>
    <w:qFormat/>
    <w:uiPriority w:val="0"/>
    <w:pPr>
      <w:autoSpaceDE w:val="0"/>
      <w:autoSpaceDN w:val="0"/>
      <w:adjustRightInd w:val="0"/>
      <w:spacing w:line="360" w:lineRule="auto"/>
      <w:jc w:val="left"/>
    </w:pPr>
    <w:rPr>
      <w:kern w:val="0"/>
      <w:szCs w:val="20"/>
    </w:rPr>
  </w:style>
  <w:style w:type="paragraph" w:customStyle="1" w:styleId="433">
    <w:name w:val="表格表头"/>
    <w:basedOn w:val="434"/>
    <w:next w:val="434"/>
    <w:qFormat/>
    <w:uiPriority w:val="0"/>
    <w:pPr>
      <w:tabs>
        <w:tab w:val="left" w:pos="420"/>
      </w:tabs>
    </w:pPr>
    <w:rPr>
      <w:b/>
    </w:rPr>
  </w:style>
  <w:style w:type="paragraph" w:customStyle="1" w:styleId="434">
    <w:name w:val="表格正文"/>
    <w:basedOn w:val="1"/>
    <w:qFormat/>
    <w:uiPriority w:val="0"/>
    <w:pPr>
      <w:tabs>
        <w:tab w:val="left" w:pos="420"/>
      </w:tabs>
      <w:spacing w:before="60" w:after="60"/>
    </w:pPr>
    <w:rPr>
      <w:szCs w:val="20"/>
    </w:rPr>
  </w:style>
  <w:style w:type="paragraph" w:customStyle="1" w:styleId="43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6">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37">
    <w:name w:val="a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8">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39">
    <w:name w:val="Char1 Char Char Char Char Char Char"/>
    <w:basedOn w:val="1"/>
    <w:qFormat/>
    <w:uiPriority w:val="0"/>
    <w:pPr>
      <w:spacing w:line="360" w:lineRule="auto"/>
    </w:pPr>
    <w:rPr>
      <w:rFonts w:ascii="Tahoma" w:hAnsi="Tahoma"/>
      <w:sz w:val="24"/>
      <w:szCs w:val="20"/>
    </w:rPr>
  </w:style>
  <w:style w:type="paragraph" w:customStyle="1" w:styleId="44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441">
    <w:name w:val="xl1072"/>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42">
    <w:name w:val="图号"/>
    <w:basedOn w:val="1"/>
    <w:qFormat/>
    <w:uiPriority w:val="0"/>
    <w:pPr>
      <w:numPr>
        <w:ilvl w:val="7"/>
        <w:numId w:val="7"/>
      </w:numPr>
      <w:autoSpaceDE w:val="0"/>
      <w:autoSpaceDN w:val="0"/>
      <w:adjustRightInd w:val="0"/>
      <w:spacing w:before="105" w:line="360" w:lineRule="auto"/>
      <w:jc w:val="center"/>
    </w:pPr>
    <w:rPr>
      <w:rFonts w:ascii="Arial" w:hAnsi="Arial"/>
      <w:kern w:val="0"/>
      <w:sz w:val="18"/>
      <w:szCs w:val="18"/>
    </w:rPr>
  </w:style>
  <w:style w:type="paragraph" w:customStyle="1" w:styleId="443">
    <w:name w:val="SFClearBullets"/>
    <w:qFormat/>
    <w:uiPriority w:val="0"/>
    <w:pPr>
      <w:tabs>
        <w:tab w:val="left" w:pos="360"/>
        <w:tab w:val="left" w:pos="480"/>
      </w:tabs>
    </w:pPr>
    <w:rPr>
      <w:rFonts w:ascii="Helvetica" w:hAnsi="Helvetica" w:eastAsia="宋体" w:cs="Times New Roman"/>
      <w:szCs w:val="24"/>
      <w:lang w:val="en-US" w:eastAsia="en-US" w:bidi="ar-SA"/>
    </w:rPr>
  </w:style>
  <w:style w:type="paragraph" w:customStyle="1" w:styleId="444">
    <w:name w:val="符号列表"/>
    <w:basedOn w:val="1"/>
    <w:qFormat/>
    <w:uiPriority w:val="0"/>
    <w:pPr>
      <w:widowControl/>
      <w:tabs>
        <w:tab w:val="left" w:pos="810"/>
        <w:tab w:val="left" w:pos="964"/>
      </w:tabs>
      <w:snapToGrid w:val="0"/>
      <w:spacing w:line="440" w:lineRule="exact"/>
      <w:ind w:left="810" w:hanging="330"/>
      <w:jc w:val="left"/>
    </w:pPr>
    <w:rPr>
      <w:color w:val="000000"/>
      <w:sz w:val="24"/>
      <w:szCs w:val="24"/>
    </w:rPr>
  </w:style>
  <w:style w:type="paragraph" w:customStyle="1" w:styleId="44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46">
    <w:name w:val="EST-List 9"/>
    <w:basedOn w:val="261"/>
    <w:qFormat/>
    <w:uiPriority w:val="0"/>
    <w:pPr>
      <w:tabs>
        <w:tab w:val="left" w:pos="3240"/>
        <w:tab w:val="left" w:pos="4380"/>
        <w:tab w:val="left" w:pos="4620"/>
        <w:tab w:val="clear" w:pos="2880"/>
        <w:tab w:val="clear" w:pos="3960"/>
      </w:tabs>
    </w:pPr>
  </w:style>
  <w:style w:type="paragraph" w:customStyle="1" w:styleId="447">
    <w:name w:val="xl1102"/>
    <w:basedOn w:val="1"/>
    <w:qFormat/>
    <w:uiPriority w:val="0"/>
    <w:pPr>
      <w:widowControl/>
      <w:pBdr>
        <w:bottom w:val="single" w:color="auto" w:sz="4" w:space="0"/>
      </w:pBdr>
      <w:shd w:val="clear" w:color="000000" w:fill="FFFFFF"/>
      <w:spacing w:before="100" w:beforeAutospacing="1" w:after="100" w:afterAutospacing="1"/>
      <w:jc w:val="center"/>
    </w:pPr>
    <w:rPr>
      <w:rFonts w:ascii="Arial" w:hAnsi="Arial" w:cs="Arial"/>
      <w:b/>
      <w:bCs/>
      <w:kern w:val="0"/>
      <w:sz w:val="36"/>
      <w:szCs w:val="36"/>
    </w:rPr>
  </w:style>
  <w:style w:type="paragraph" w:customStyle="1" w:styleId="44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449">
    <w:name w:val="xl81"/>
    <w:basedOn w:val="1"/>
    <w:qFormat/>
    <w:uiPriority w:val="0"/>
    <w:pPr>
      <w:widowControl/>
      <w:spacing w:before="100" w:beforeAutospacing="1" w:after="100" w:afterAutospacing="1"/>
      <w:jc w:val="center"/>
    </w:pPr>
    <w:rPr>
      <w:kern w:val="0"/>
      <w:sz w:val="18"/>
      <w:szCs w:val="18"/>
    </w:rPr>
  </w:style>
  <w:style w:type="paragraph" w:customStyle="1" w:styleId="450">
    <w:name w:val="图片"/>
    <w:basedOn w:val="1"/>
    <w:next w:val="2"/>
    <w:qFormat/>
    <w:uiPriority w:val="0"/>
    <w:pPr>
      <w:adjustRightInd w:val="0"/>
      <w:jc w:val="center"/>
    </w:pPr>
    <w:rPr>
      <w:szCs w:val="24"/>
    </w:rPr>
  </w:style>
  <w:style w:type="paragraph" w:customStyle="1" w:styleId="451">
    <w:name w:val="Pa10"/>
    <w:basedOn w:val="1"/>
    <w:next w:val="1"/>
    <w:unhideWhenUsed/>
    <w:qFormat/>
    <w:uiPriority w:val="99"/>
    <w:pPr>
      <w:autoSpaceDE w:val="0"/>
      <w:autoSpaceDN w:val="0"/>
      <w:adjustRightInd w:val="0"/>
      <w:spacing w:line="161" w:lineRule="atLeast"/>
      <w:jc w:val="left"/>
    </w:pPr>
    <w:rPr>
      <w:rFonts w:ascii="宋体" w:cs="宋体"/>
      <w:color w:val="000000"/>
      <w:kern w:val="0"/>
      <w:sz w:val="24"/>
      <w:szCs w:val="24"/>
    </w:rPr>
  </w:style>
  <w:style w:type="paragraph" w:customStyle="1" w:styleId="452">
    <w:name w:val="zw"/>
    <w:basedOn w:val="1"/>
    <w:qFormat/>
    <w:uiPriority w:val="0"/>
    <w:pPr>
      <w:widowControl/>
      <w:spacing w:before="100" w:beforeAutospacing="1" w:after="100" w:afterAutospacing="1" w:line="360" w:lineRule="auto"/>
      <w:jc w:val="left"/>
    </w:pPr>
    <w:rPr>
      <w:rFonts w:ascii="宋体" w:hAnsi="宋体" w:cs="宋体"/>
      <w:color w:val="000000"/>
      <w:kern w:val="0"/>
      <w:sz w:val="20"/>
      <w:szCs w:val="20"/>
    </w:rPr>
  </w:style>
  <w:style w:type="paragraph" w:customStyle="1" w:styleId="45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54">
    <w:name w:val="xl110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455">
    <w:name w:val="xl10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2"/>
      <w:szCs w:val="22"/>
    </w:rPr>
  </w:style>
  <w:style w:type="paragraph" w:customStyle="1" w:styleId="456">
    <w:name w:val="Item List Char Char"/>
    <w:qFormat/>
    <w:uiPriority w:val="0"/>
    <w:pPr>
      <w:spacing w:line="300" w:lineRule="auto"/>
      <w:jc w:val="both"/>
    </w:pPr>
    <w:rPr>
      <w:rFonts w:ascii="Arial" w:hAnsi="Arial" w:eastAsia="宋体" w:cs="Arial"/>
      <w:sz w:val="21"/>
      <w:szCs w:val="21"/>
      <w:lang w:val="en-US" w:eastAsia="zh-CN" w:bidi="ar-SA"/>
    </w:rPr>
  </w:style>
  <w:style w:type="paragraph" w:customStyle="1" w:styleId="45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58">
    <w:name w:val="子标题"/>
    <w:basedOn w:val="1"/>
    <w:next w:val="2"/>
    <w:qFormat/>
    <w:uiPriority w:val="0"/>
    <w:pPr>
      <w:adjustRightInd w:val="0"/>
      <w:spacing w:beforeLines="50" w:afterLines="20"/>
      <w:jc w:val="left"/>
      <w:outlineLvl w:val="5"/>
    </w:pPr>
    <w:rPr>
      <w:rFonts w:ascii="黑体" w:eastAsia="黑体"/>
      <w:kern w:val="0"/>
    </w:rPr>
  </w:style>
  <w:style w:type="paragraph" w:customStyle="1" w:styleId="45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60">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62">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463">
    <w:name w:val="xl10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64">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5">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2"/>
      <w:szCs w:val="22"/>
    </w:rPr>
  </w:style>
  <w:style w:type="paragraph" w:customStyle="1" w:styleId="466">
    <w:name w:val="Item Step in Table"/>
    <w:qFormat/>
    <w:uiPriority w:val="0"/>
    <w:pPr>
      <w:spacing w:before="40" w:after="40"/>
      <w:ind w:left="360" w:hanging="360"/>
      <w:jc w:val="both"/>
    </w:pPr>
    <w:rPr>
      <w:rFonts w:ascii="Arial" w:hAnsi="Arial" w:eastAsia="宋体" w:cs="Arial"/>
      <w:sz w:val="18"/>
      <w:szCs w:val="18"/>
      <w:lang w:val="en-US" w:eastAsia="zh-CN" w:bidi="ar-SA"/>
    </w:rPr>
  </w:style>
  <w:style w:type="paragraph" w:customStyle="1" w:styleId="467">
    <w:name w:val="正文 2"/>
    <w:basedOn w:val="139"/>
    <w:qFormat/>
    <w:uiPriority w:val="0"/>
    <w:pPr>
      <w:ind w:left="780" w:leftChars="0" w:hanging="360"/>
    </w:pPr>
    <w:rPr>
      <w:b/>
    </w:rPr>
  </w:style>
  <w:style w:type="paragraph" w:customStyle="1" w:styleId="468">
    <w:name w:val="figure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7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71">
    <w:name w:val="默认段落字体 Para Char"/>
    <w:basedOn w:val="1"/>
    <w:qFormat/>
    <w:uiPriority w:val="0"/>
    <w:rPr>
      <w:rFonts w:ascii="Arial" w:hAnsi="Arial" w:cs="Arial"/>
      <w:szCs w:val="24"/>
    </w:rPr>
  </w:style>
  <w:style w:type="paragraph" w:customStyle="1" w:styleId="472">
    <w:name w:val="a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3">
    <w:name w:val="正文缩进4格"/>
    <w:basedOn w:val="121"/>
    <w:qFormat/>
    <w:uiPriority w:val="0"/>
    <w:pPr>
      <w:ind w:left="2" w:firstLine="538" w:firstLineChars="192"/>
    </w:pPr>
    <w:rPr>
      <w:color w:val="000000"/>
      <w:sz w:val="28"/>
    </w:rPr>
  </w:style>
  <w:style w:type="paragraph" w:customStyle="1" w:styleId="47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5">
    <w:name w:val="figuretext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77">
    <w:name w:val="[无段落样式]"/>
    <w:qFormat/>
    <w:uiPriority w:val="0"/>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7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9">
    <w:name w:val="TableText_Stibo_Grayed"/>
    <w:basedOn w:val="288"/>
    <w:qFormat/>
    <w:uiPriority w:val="0"/>
  </w:style>
  <w:style w:type="paragraph" w:customStyle="1" w:styleId="480">
    <w:name w:val="_Style 16"/>
    <w:basedOn w:val="1"/>
    <w:qFormat/>
    <w:uiPriority w:val="0"/>
    <w:pPr>
      <w:widowControl/>
      <w:spacing w:line="400" w:lineRule="exact"/>
      <w:jc w:val="center"/>
    </w:pPr>
    <w:rPr>
      <w:szCs w:val="20"/>
    </w:rPr>
  </w:style>
  <w:style w:type="paragraph" w:customStyle="1" w:styleId="481">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FF0000"/>
      <w:kern w:val="0"/>
      <w:sz w:val="22"/>
      <w:szCs w:val="22"/>
    </w:rPr>
  </w:style>
  <w:style w:type="paragraph" w:customStyle="1" w:styleId="482">
    <w:name w:val="Lb1"/>
    <w:qFormat/>
    <w:uiPriority w:val="0"/>
    <w:pPr>
      <w:tabs>
        <w:tab w:val="left" w:pos="300"/>
        <w:tab w:val="left" w:pos="360"/>
        <w:tab w:val="left" w:pos="907"/>
      </w:tabs>
      <w:spacing w:after="100"/>
    </w:pPr>
    <w:rPr>
      <w:rFonts w:ascii="Times New Roman" w:hAnsi="Times New Roman" w:eastAsia="宋体" w:cs="Times New Roman"/>
      <w:sz w:val="21"/>
      <w:lang w:val="en-US" w:eastAsia="zh-CN" w:bidi="ar-SA"/>
    </w:rPr>
  </w:style>
  <w:style w:type="paragraph" w:customStyle="1" w:styleId="483">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48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85">
    <w:name w:val="样式 一标题 + 三号 左侧:  0 厘米 右侧:  0 厘米 段前: 6 磅 段后: 6 磅"/>
    <w:basedOn w:val="1"/>
    <w:qFormat/>
    <w:uiPriority w:val="0"/>
    <w:pPr>
      <w:autoSpaceDE w:val="0"/>
      <w:autoSpaceDN w:val="0"/>
      <w:adjustRightInd w:val="0"/>
      <w:spacing w:beforeLines="50" w:afterLines="50"/>
    </w:pPr>
    <w:rPr>
      <w:rFonts w:ascii="仿宋_GB2312" w:hAnsi="宋体" w:eastAsia="仿宋_GB2312" w:cs="宋体"/>
      <w:b/>
      <w:kern w:val="0"/>
      <w:sz w:val="24"/>
      <w:szCs w:val="24"/>
      <w:u w:val="single"/>
    </w:rPr>
  </w:style>
  <w:style w:type="paragraph" w:customStyle="1" w:styleId="486">
    <w:name w:val="xl1073"/>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87">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8">
    <w:name w:val="xl1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8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18"/>
      <w:szCs w:val="18"/>
    </w:rPr>
  </w:style>
  <w:style w:type="paragraph" w:customStyle="1" w:styleId="490">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1">
    <w:name w:val="ptitle"/>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9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493">
    <w:name w:val="xl7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94">
    <w:name w:val="Lb2"/>
    <w:basedOn w:val="482"/>
    <w:qFormat/>
    <w:uiPriority w:val="0"/>
    <w:pPr>
      <w:tabs>
        <w:tab w:val="left" w:pos="425"/>
        <w:tab w:val="left" w:pos="600"/>
        <w:tab w:val="left" w:pos="1080"/>
        <w:tab w:val="left" w:pos="1440"/>
        <w:tab w:val="clear" w:pos="300"/>
      </w:tabs>
      <w:ind w:left="360"/>
    </w:pPr>
  </w:style>
  <w:style w:type="paragraph" w:customStyle="1" w:styleId="495">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49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97">
    <w:name w:val="xl10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2"/>
      <w:szCs w:val="22"/>
    </w:rPr>
  </w:style>
  <w:style w:type="paragraph" w:customStyle="1" w:styleId="498">
    <w:name w:val="xl110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9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20"/>
      <w:szCs w:val="20"/>
    </w:rPr>
  </w:style>
  <w:style w:type="paragraph" w:customStyle="1" w:styleId="500">
    <w:name w:val="xl10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501">
    <w:name w:val="无缩进正文"/>
    <w:basedOn w:val="1"/>
    <w:next w:val="1"/>
    <w:qFormat/>
    <w:uiPriority w:val="0"/>
    <w:pPr>
      <w:spacing w:line="360" w:lineRule="auto"/>
    </w:pPr>
    <w:rPr>
      <w:sz w:val="24"/>
      <w:szCs w:val="20"/>
    </w:rPr>
  </w:style>
  <w:style w:type="paragraph" w:customStyle="1" w:styleId="502">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03">
    <w:name w:val="Lb3"/>
    <w:basedOn w:val="494"/>
    <w:qFormat/>
    <w:uiPriority w:val="0"/>
    <w:pPr>
      <w:numPr>
        <w:ilvl w:val="2"/>
        <w:numId w:val="10"/>
      </w:numPr>
      <w:tabs>
        <w:tab w:val="left" w:pos="900"/>
        <w:tab w:val="left" w:pos="1800"/>
        <w:tab w:val="clear" w:pos="600"/>
        <w:tab w:val="clear" w:pos="907"/>
      </w:tabs>
      <w:ind w:left="720"/>
    </w:pPr>
  </w:style>
  <w:style w:type="paragraph" w:customStyle="1" w:styleId="50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05">
    <w:name w:val="Pa11"/>
    <w:basedOn w:val="1"/>
    <w:next w:val="1"/>
    <w:unhideWhenUsed/>
    <w:qFormat/>
    <w:uiPriority w:val="99"/>
    <w:pPr>
      <w:autoSpaceDE w:val="0"/>
      <w:autoSpaceDN w:val="0"/>
      <w:adjustRightInd w:val="0"/>
      <w:spacing w:line="141" w:lineRule="atLeast"/>
      <w:jc w:val="left"/>
    </w:pPr>
    <w:rPr>
      <w:rFonts w:ascii="宋体" w:cs="宋体"/>
      <w:color w:val="000000"/>
      <w:kern w:val="0"/>
      <w:sz w:val="24"/>
      <w:szCs w:val="24"/>
    </w:rPr>
  </w:style>
  <w:style w:type="paragraph" w:customStyle="1" w:styleId="50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507">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0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9">
    <w:name w:val="图题"/>
    <w:basedOn w:val="386"/>
    <w:qFormat/>
    <w:uiPriority w:val="0"/>
    <w:pPr>
      <w:spacing w:before="0" w:after="120"/>
      <w:jc w:val="center"/>
    </w:pPr>
    <w:rPr>
      <w:rFonts w:ascii="Arial" w:hAnsi="Arial" w:eastAsia="黑体"/>
      <w:sz w:val="18"/>
    </w:rPr>
  </w:style>
  <w:style w:type="character" w:customStyle="1" w:styleId="510">
    <w:name w:val="明显引用 Char3"/>
    <w:basedOn w:val="55"/>
    <w:link w:val="123"/>
    <w:qFormat/>
    <w:uiPriority w:val="99"/>
    <w:rPr>
      <w:b/>
      <w:bCs/>
      <w:i/>
      <w:iCs/>
      <w:color w:val="4F81BD" w:themeColor="accent1"/>
      <w:kern w:val="2"/>
      <w:sz w:val="21"/>
      <w:szCs w:val="21"/>
    </w:rPr>
  </w:style>
  <w:style w:type="paragraph" w:customStyle="1" w:styleId="511">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512">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13">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1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5">
    <w:name w:val="3级"/>
    <w:basedOn w:val="6"/>
    <w:qFormat/>
    <w:uiPriority w:val="0"/>
    <w:pPr>
      <w:tabs>
        <w:tab w:val="left" w:pos="480"/>
      </w:tabs>
      <w:adjustRightInd/>
      <w:spacing w:beforeLines="50" w:afterLines="50" w:line="416" w:lineRule="auto"/>
      <w:ind w:left="480" w:hanging="480"/>
      <w:jc w:val="both"/>
      <w:textAlignment w:val="auto"/>
    </w:pPr>
    <w:rPr>
      <w:rFonts w:ascii="宋体" w:hAnsi="宋体" w:eastAsia="宋体"/>
      <w:bCs/>
      <w:sz w:val="21"/>
      <w:szCs w:val="21"/>
    </w:rPr>
  </w:style>
  <w:style w:type="paragraph" w:customStyle="1" w:styleId="516">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17">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518">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9">
    <w:name w:val="xl10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52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1">
    <w:name w:val="xl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22">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523">
    <w:name w:val="Char Char Char Char Char Char1"/>
    <w:basedOn w:val="1"/>
    <w:qFormat/>
    <w:uiPriority w:val="0"/>
    <w:pPr>
      <w:adjustRightInd w:val="0"/>
      <w:spacing w:line="360" w:lineRule="auto"/>
    </w:pPr>
    <w:rPr>
      <w:kern w:val="0"/>
      <w:sz w:val="24"/>
      <w:szCs w:val="20"/>
    </w:rPr>
  </w:style>
  <w:style w:type="paragraph" w:customStyle="1" w:styleId="52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525">
    <w:name w:val="xl10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2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27">
    <w:name w:val="a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8">
    <w:name w:val="figur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9">
    <w:name w:val="s01"/>
    <w:basedOn w:val="1"/>
    <w:qFormat/>
    <w:uiPriority w:val="0"/>
    <w:pPr>
      <w:widowControl/>
      <w:spacing w:before="100" w:beforeAutospacing="1" w:after="100" w:afterAutospacing="1" w:line="360" w:lineRule="auto"/>
      <w:jc w:val="left"/>
    </w:pPr>
    <w:rPr>
      <w:rFonts w:ascii="宋体" w:hAnsi="宋体" w:cs="宋体"/>
      <w:color w:val="333333"/>
      <w:kern w:val="0"/>
    </w:rPr>
  </w:style>
  <w:style w:type="paragraph" w:customStyle="1" w:styleId="530">
    <w:name w:val="xl143"/>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531">
    <w:name w:val="xl110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532">
    <w:name w:val="xl83"/>
    <w:basedOn w:val="1"/>
    <w:qFormat/>
    <w:uiPriority w:val="0"/>
    <w:pPr>
      <w:widowControl/>
      <w:spacing w:before="100" w:beforeAutospacing="1" w:after="100" w:afterAutospacing="1"/>
      <w:jc w:val="center"/>
      <w:textAlignment w:val="center"/>
    </w:pPr>
    <w:rPr>
      <w:kern w:val="0"/>
      <w:sz w:val="20"/>
      <w:szCs w:val="20"/>
    </w:rPr>
  </w:style>
  <w:style w:type="paragraph" w:customStyle="1" w:styleId="533">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4">
    <w:name w:val="xl12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35">
    <w:name w:val="font13"/>
    <w:basedOn w:val="1"/>
    <w:qFormat/>
    <w:uiPriority w:val="0"/>
    <w:pPr>
      <w:widowControl/>
      <w:spacing w:before="100" w:beforeAutospacing="1" w:after="100" w:afterAutospacing="1"/>
      <w:jc w:val="left"/>
    </w:pPr>
    <w:rPr>
      <w:b/>
      <w:bCs/>
      <w:kern w:val="0"/>
      <w:sz w:val="20"/>
      <w:szCs w:val="20"/>
    </w:rPr>
  </w:style>
  <w:style w:type="paragraph" w:customStyle="1" w:styleId="536">
    <w:name w:val="Char1 Char Char Char"/>
    <w:basedOn w:val="1"/>
    <w:qFormat/>
    <w:uiPriority w:val="0"/>
    <w:pPr>
      <w:spacing w:line="360" w:lineRule="auto"/>
    </w:pPr>
    <w:rPr>
      <w:sz w:val="24"/>
      <w:szCs w:val="20"/>
    </w:rPr>
  </w:style>
  <w:style w:type="paragraph" w:customStyle="1" w:styleId="53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38">
    <w:name w:val="图注"/>
    <w:basedOn w:val="509"/>
    <w:qFormat/>
    <w:uiPriority w:val="0"/>
    <w:pPr>
      <w:spacing w:after="0" w:line="300" w:lineRule="auto"/>
      <w:jc w:val="left"/>
    </w:pPr>
    <w:rPr>
      <w:rFonts w:ascii="Times New Roman" w:hAnsi="Times New Roman" w:eastAsia="楷体_GB2312"/>
    </w:rPr>
  </w:style>
  <w:style w:type="paragraph" w:customStyle="1" w:styleId="539">
    <w:name w:val="xl72"/>
    <w:basedOn w:val="1"/>
    <w:qFormat/>
    <w:uiPriority w:val="0"/>
    <w:pPr>
      <w:widowControl/>
      <w:spacing w:before="100" w:beforeAutospacing="1" w:after="100" w:afterAutospacing="1"/>
      <w:jc w:val="left"/>
    </w:pPr>
    <w:rPr>
      <w:kern w:val="0"/>
      <w:sz w:val="24"/>
      <w:szCs w:val="24"/>
    </w:rPr>
  </w:style>
  <w:style w:type="paragraph" w:customStyle="1" w:styleId="540">
    <w:name w:val="font1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4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42">
    <w:name w:val="xl1093"/>
    <w:basedOn w:val="1"/>
    <w:qFormat/>
    <w:uiPriority w:val="0"/>
    <w:pPr>
      <w:widowControl/>
      <w:shd w:val="clear" w:color="000000" w:fill="FFFFFF"/>
      <w:spacing w:before="100" w:beforeAutospacing="1" w:after="100" w:afterAutospacing="1"/>
      <w:jc w:val="left"/>
    </w:pPr>
    <w:rPr>
      <w:rFonts w:ascii="宋体" w:hAnsi="宋体" w:cs="宋体"/>
      <w:b/>
      <w:bCs/>
      <w:kern w:val="0"/>
      <w:sz w:val="36"/>
      <w:szCs w:val="36"/>
    </w:rPr>
  </w:style>
  <w:style w:type="paragraph" w:customStyle="1" w:styleId="543">
    <w:name w:val="xl10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544">
    <w:name w:val="xl10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45">
    <w:name w:val="段"/>
    <w:qFormat/>
    <w:uiPriority w:val="0"/>
    <w:pPr>
      <w:ind w:firstLine="200" w:firstLineChars="200"/>
      <w:jc w:val="both"/>
    </w:pPr>
    <w:rPr>
      <w:rFonts w:ascii="宋体" w:hAnsi="Times New Roman" w:eastAsia="Times New Roman" w:cs="Times New Roman"/>
      <w:sz w:val="21"/>
      <w:szCs w:val="24"/>
      <w:lang w:val="en-US" w:eastAsia="zh-CN" w:bidi="ar-SA"/>
    </w:rPr>
  </w:style>
  <w:style w:type="character" w:customStyle="1" w:styleId="546">
    <w:name w:val="正文缩进 Char1"/>
    <w:link w:val="547"/>
    <w:qFormat/>
    <w:uiPriority w:val="0"/>
    <w:rPr>
      <w:rFonts w:ascii="宋体"/>
      <w:sz w:val="24"/>
    </w:rPr>
  </w:style>
  <w:style w:type="paragraph" w:customStyle="1" w:styleId="547">
    <w:name w:val="正文缩进1"/>
    <w:basedOn w:val="1"/>
    <w:link w:val="546"/>
    <w:qFormat/>
    <w:uiPriority w:val="0"/>
    <w:pPr>
      <w:autoSpaceDE w:val="0"/>
      <w:autoSpaceDN w:val="0"/>
      <w:adjustRightInd w:val="0"/>
      <w:ind w:firstLine="420"/>
      <w:jc w:val="left"/>
    </w:pPr>
    <w:rPr>
      <w:rFonts w:ascii="宋体"/>
      <w:kern w:val="0"/>
      <w:sz w:val="24"/>
      <w:szCs w:val="20"/>
    </w:rPr>
  </w:style>
  <w:style w:type="paragraph" w:customStyle="1" w:styleId="548">
    <w:name w:val="索引 11"/>
    <w:basedOn w:val="1"/>
    <w:next w:val="1"/>
    <w:qFormat/>
    <w:uiPriority w:val="0"/>
    <w:pPr>
      <w:spacing w:line="360" w:lineRule="auto"/>
    </w:pPr>
    <w:rPr>
      <w:rFonts w:ascii="仿宋_GB2312" w:eastAsia="仿宋_GB2312"/>
      <w:sz w:val="24"/>
      <w:szCs w:val="20"/>
    </w:rPr>
  </w:style>
  <w:style w:type="paragraph" w:customStyle="1" w:styleId="549">
    <w:name w:val="Char Char Char Char Char Char Char Char2"/>
    <w:basedOn w:val="1"/>
    <w:qFormat/>
    <w:uiPriority w:val="0"/>
    <w:pPr>
      <w:snapToGrid w:val="0"/>
      <w:spacing w:line="520" w:lineRule="exact"/>
      <w:ind w:firstLine="560" w:firstLineChars="200"/>
    </w:pPr>
    <w:rPr>
      <w:szCs w:val="20"/>
    </w:rPr>
  </w:style>
  <w:style w:type="paragraph" w:customStyle="1" w:styleId="550">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51">
    <w:name w:val="不明显强调2"/>
    <w:qFormat/>
    <w:uiPriority w:val="19"/>
    <w:rPr>
      <w:i/>
      <w:iCs/>
    </w:rPr>
  </w:style>
  <w:style w:type="character" w:customStyle="1" w:styleId="552">
    <w:name w:val="Char Char2"/>
    <w:qFormat/>
    <w:uiPriority w:val="0"/>
    <w:rPr>
      <w:rFonts w:ascii="Times New Roman" w:hAnsi="Times New Roman" w:eastAsia="宋体"/>
      <w:kern w:val="2"/>
      <w:sz w:val="21"/>
      <w:szCs w:val="22"/>
      <w:lang w:val="en-US" w:eastAsia="zh-CN" w:bidi="ar-SA"/>
    </w:rPr>
  </w:style>
  <w:style w:type="character" w:customStyle="1" w:styleId="553">
    <w:name w:val="书籍标题2"/>
    <w:qFormat/>
    <w:uiPriority w:val="0"/>
    <w:rPr>
      <w:i/>
      <w:iCs/>
      <w:smallCaps/>
      <w:spacing w:val="5"/>
    </w:rPr>
  </w:style>
  <w:style w:type="character" w:customStyle="1" w:styleId="554">
    <w:name w:val="不明显参考2"/>
    <w:qFormat/>
    <w:uiPriority w:val="31"/>
    <w:rPr>
      <w:smallCaps/>
    </w:rPr>
  </w:style>
  <w:style w:type="character" w:customStyle="1" w:styleId="555">
    <w:name w:val="明显参考2"/>
    <w:qFormat/>
    <w:uiPriority w:val="0"/>
    <w:rPr>
      <w:smallCaps/>
      <w:spacing w:val="5"/>
      <w:u w:val="single"/>
    </w:rPr>
  </w:style>
  <w:style w:type="character" w:customStyle="1" w:styleId="556">
    <w:name w:val="明显强调2"/>
    <w:qFormat/>
    <w:uiPriority w:val="0"/>
    <w:rPr>
      <w:b/>
      <w:bCs/>
    </w:rPr>
  </w:style>
  <w:style w:type="paragraph" w:customStyle="1" w:styleId="557">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558">
    <w:name w:val="List Paragraph1"/>
    <w:basedOn w:val="1"/>
    <w:qFormat/>
    <w:uiPriority w:val="0"/>
    <w:pPr>
      <w:ind w:firstLine="420" w:firstLineChars="200"/>
    </w:pPr>
    <w:rPr>
      <w:rFonts w:ascii="Calibri" w:hAnsi="Calibri"/>
      <w:szCs w:val="22"/>
    </w:rPr>
  </w:style>
  <w:style w:type="paragraph" w:customStyle="1" w:styleId="559">
    <w:name w:val="TOC 标题2"/>
    <w:basedOn w:val="4"/>
    <w:next w:val="1"/>
    <w:qFormat/>
    <w:uiPriority w:val="0"/>
    <w:pPr>
      <w:keepNext w:val="0"/>
      <w:keepLines w:val="0"/>
      <w:widowControl/>
      <w:spacing w:before="480" w:after="0" w:line="276" w:lineRule="auto"/>
      <w:contextualSpacing/>
      <w:jc w:val="left"/>
      <w:outlineLvl w:val="9"/>
    </w:pPr>
    <w:rPr>
      <w:rFonts w:ascii="Cambria" w:hAnsi="Cambria" w:eastAsia="宋体"/>
      <w:bCs/>
      <w:kern w:val="0"/>
      <w:sz w:val="28"/>
      <w:szCs w:val="28"/>
      <w:lang w:eastAsia="en-US" w:bidi="en-US"/>
    </w:rPr>
  </w:style>
  <w:style w:type="paragraph" w:customStyle="1" w:styleId="560">
    <w:name w:val="Char Char 字元 字元 字元 Char Char Char Char1"/>
    <w:basedOn w:val="1"/>
    <w:qFormat/>
    <w:uiPriority w:val="0"/>
    <w:pPr>
      <w:adjustRightInd w:val="0"/>
      <w:spacing w:line="360" w:lineRule="auto"/>
    </w:pPr>
    <w:rPr>
      <w:kern w:val="0"/>
      <w:sz w:val="24"/>
      <w:szCs w:val="20"/>
    </w:rPr>
  </w:style>
  <w:style w:type="paragraph" w:customStyle="1" w:styleId="561">
    <w:name w:val="Char Char Char Char Char Char2"/>
    <w:basedOn w:val="1"/>
    <w:qFormat/>
    <w:uiPriority w:val="0"/>
    <w:pPr>
      <w:adjustRightInd w:val="0"/>
      <w:spacing w:line="360" w:lineRule="auto"/>
    </w:pPr>
    <w:rPr>
      <w:kern w:val="0"/>
      <w:sz w:val="24"/>
      <w:szCs w:val="20"/>
    </w:rPr>
  </w:style>
  <w:style w:type="paragraph" w:customStyle="1" w:styleId="562">
    <w:name w:val="Char Char2 Char Char Char Char Char Char Char1"/>
    <w:basedOn w:val="1"/>
    <w:qFormat/>
    <w:uiPriority w:val="0"/>
    <w:rPr>
      <w:rFonts w:ascii="Tahoma" w:hAnsi="Tahoma"/>
      <w:sz w:val="24"/>
      <w:szCs w:val="20"/>
    </w:rPr>
  </w:style>
  <w:style w:type="paragraph" w:customStyle="1" w:styleId="563">
    <w:name w:val="Char3"/>
    <w:basedOn w:val="1"/>
    <w:qFormat/>
    <w:uiPriority w:val="0"/>
    <w:rPr>
      <w:rFonts w:ascii="Tahoma" w:hAnsi="Tahoma"/>
      <w:sz w:val="24"/>
      <w:szCs w:val="20"/>
    </w:rPr>
  </w:style>
  <w:style w:type="paragraph" w:customStyle="1" w:styleId="564">
    <w:name w:val="Char Char2 Char Char Char Char1"/>
    <w:basedOn w:val="1"/>
    <w:qFormat/>
    <w:uiPriority w:val="0"/>
    <w:rPr>
      <w:rFonts w:ascii="Tahoma" w:hAnsi="Tahoma"/>
      <w:sz w:val="24"/>
      <w:szCs w:val="20"/>
    </w:rPr>
  </w:style>
  <w:style w:type="paragraph" w:customStyle="1" w:styleId="565">
    <w:name w:val="No Spacing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66">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7">
    <w:name w:val="小标题"/>
    <w:basedOn w:val="1"/>
    <w:qFormat/>
    <w:uiPriority w:val="0"/>
    <w:pPr>
      <w:spacing w:line="360" w:lineRule="auto"/>
    </w:pPr>
    <w:rPr>
      <w:rFonts w:eastAsia="黑体"/>
      <w:b/>
      <w:bCs/>
      <w:sz w:val="28"/>
      <w:szCs w:val="24"/>
      <w:bdr w:val="single" w:color="auto" w:sz="4" w:space="0"/>
    </w:rPr>
  </w:style>
  <w:style w:type="paragraph" w:customStyle="1" w:styleId="568">
    <w:name w:val="Char Char Char Char2"/>
    <w:basedOn w:val="1"/>
    <w:qFormat/>
    <w:uiPriority w:val="0"/>
    <w:rPr>
      <w:rFonts w:ascii="Tahoma" w:hAnsi="Tahoma"/>
      <w:sz w:val="24"/>
      <w:szCs w:val="20"/>
    </w:rPr>
  </w:style>
  <w:style w:type="paragraph" w:customStyle="1" w:styleId="569">
    <w:name w:val="Header2"/>
    <w:basedOn w:val="1"/>
    <w:qFormat/>
    <w:uiPriority w:val="0"/>
    <w:pPr>
      <w:tabs>
        <w:tab w:val="left" w:pos="480"/>
      </w:tabs>
      <w:ind w:left="480" w:hanging="480"/>
    </w:pPr>
    <w:rPr>
      <w:szCs w:val="24"/>
    </w:rPr>
  </w:style>
  <w:style w:type="paragraph" w:customStyle="1" w:styleId="570">
    <w:name w:val="Char Char Char1"/>
    <w:basedOn w:val="1"/>
    <w:qFormat/>
    <w:uiPriority w:val="0"/>
    <w:rPr>
      <w:rFonts w:ascii="Arial" w:hAnsi="Arial" w:cs="Arial"/>
      <w:szCs w:val="24"/>
    </w:rPr>
  </w:style>
  <w:style w:type="paragraph" w:customStyle="1" w:styleId="571">
    <w:name w:val="无间隔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72">
    <w:name w:val="目录 4 Char"/>
    <w:link w:val="39"/>
    <w:qFormat/>
    <w:uiPriority w:val="39"/>
    <w:rPr>
      <w:kern w:val="2"/>
      <w:sz w:val="21"/>
      <w:szCs w:val="21"/>
    </w:rPr>
  </w:style>
  <w:style w:type="character" w:customStyle="1" w:styleId="573">
    <w:name w:val="目录 6 Char"/>
    <w:link w:val="42"/>
    <w:qFormat/>
    <w:uiPriority w:val="39"/>
    <w:rPr>
      <w:kern w:val="2"/>
      <w:sz w:val="21"/>
      <w:szCs w:val="21"/>
    </w:rPr>
  </w:style>
  <w:style w:type="character" w:customStyle="1" w:styleId="574">
    <w:name w:val="标题6 Char"/>
    <w:link w:val="575"/>
    <w:qFormat/>
    <w:uiPriority w:val="0"/>
    <w:rPr>
      <w:b/>
      <w:bCs/>
      <w:kern w:val="2"/>
      <w:sz w:val="21"/>
      <w:szCs w:val="24"/>
    </w:rPr>
  </w:style>
  <w:style w:type="paragraph" w:customStyle="1" w:styleId="575">
    <w:name w:val="标题6"/>
    <w:basedOn w:val="9"/>
    <w:link w:val="574"/>
    <w:qFormat/>
    <w:uiPriority w:val="0"/>
    <w:pPr>
      <w:tabs>
        <w:tab w:val="left" w:pos="810"/>
      </w:tabs>
      <w:spacing w:before="120" w:after="120" w:line="360" w:lineRule="auto"/>
    </w:pPr>
    <w:rPr>
      <w:rFonts w:ascii="Times New Roman" w:hAnsi="Times New Roman" w:eastAsia="宋体"/>
      <w:sz w:val="21"/>
      <w:szCs w:val="24"/>
    </w:rPr>
  </w:style>
  <w:style w:type="paragraph" w:customStyle="1" w:styleId="576">
    <w:name w:val="Indent Normal"/>
    <w:basedOn w:val="1"/>
    <w:qFormat/>
    <w:uiPriority w:val="0"/>
    <w:pPr>
      <w:spacing w:line="360" w:lineRule="auto"/>
      <w:ind w:firstLine="150" w:firstLineChars="150"/>
    </w:pPr>
    <w:rPr>
      <w:sz w:val="24"/>
      <w:szCs w:val="24"/>
    </w:rPr>
  </w:style>
  <w:style w:type="paragraph" w:customStyle="1" w:styleId="577">
    <w:name w:val="TOC 标题3"/>
    <w:basedOn w:val="4"/>
    <w:next w:val="1"/>
    <w:qFormat/>
    <w:uiPriority w:val="39"/>
    <w:pPr>
      <w:widowControl/>
      <w:spacing w:before="480" w:after="0" w:line="276" w:lineRule="auto"/>
      <w:jc w:val="left"/>
      <w:outlineLvl w:val="9"/>
    </w:pPr>
    <w:rPr>
      <w:rFonts w:ascii="Cambria" w:hAnsi="Cambria" w:eastAsia="宋体"/>
      <w:bCs/>
      <w:color w:val="365F91"/>
      <w:kern w:val="0"/>
      <w:sz w:val="28"/>
      <w:szCs w:val="28"/>
    </w:rPr>
  </w:style>
  <w:style w:type="table" w:customStyle="1" w:styleId="578">
    <w:name w:val="网格型1"/>
    <w:basedOn w:val="53"/>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79">
    <w:name w:val="Table Paragraph"/>
    <w:basedOn w:val="1"/>
    <w:qFormat/>
    <w:uiPriority w:val="1"/>
    <w:rPr>
      <w:rFonts w:ascii="宋体" w:hAnsi="宋体" w:cs="宋体"/>
      <w:lang w:val="zh-CN" w:bidi="zh-CN"/>
    </w:rPr>
  </w:style>
  <w:style w:type="character" w:customStyle="1" w:styleId="580">
    <w:name w:val="标题 3 Char"/>
    <w:basedOn w:val="55"/>
    <w:link w:val="6"/>
    <w:qFormat/>
    <w:uiPriority w:val="0"/>
    <w:rPr>
      <w:rFonts w:hint="eastAsia" w:ascii="黑体" w:hAnsi="宋体" w:eastAsia="黑体" w:cs="黑体"/>
      <w:kern w:val="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3"/>
    <customShpInfo spid="_x0000_s2052"/>
    <customShpInfo spid="_x0000_s2051"/>
    <customShpInfo spid="_x0000_s2049"/>
    <customShpInfo spid="_x0000_s2050"/>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EC7B6-64B4-C746-94D7-A1CE0AAEEAD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6392</Words>
  <Characters>36439</Characters>
  <Lines>303</Lines>
  <Paragraphs>85</Paragraphs>
  <TotalTime>18</TotalTime>
  <ScaleCrop>false</ScaleCrop>
  <LinksUpToDate>false</LinksUpToDate>
  <CharactersWithSpaces>42746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2021-07-19T03:09:00Z</dcterms:created>
  <dc:creator>微软用户</dc:creator>
  <cp:lastModifiedBy>Rainbow</cp:lastModifiedBy>
  <cp:lastPrinted>2021-08-24T05:39:00Z</cp:lastPrinted>
  <dcterms:modified xsi:type="dcterms:W3CDTF">2021-08-26T09:03:15Z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6ED903FFABA1423F854B5D9117D2076C</vt:lpwstr>
  </property>
</Properties>
</file>